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77D4E" w14:textId="6A6E5BFB" w:rsidR="00943A61" w:rsidRDefault="00017C61" w:rsidP="009D7273">
      <w:pPr>
        <w:pBdr>
          <w:top w:val="nil"/>
          <w:left w:val="nil"/>
          <w:bottom w:val="nil"/>
          <w:right w:val="nil"/>
          <w:between w:val="nil"/>
        </w:pBdr>
        <w:spacing w:after="0" w:line="480" w:lineRule="auto"/>
        <w:jc w:val="center"/>
        <w:rPr>
          <w:rFonts w:ascii="Times New Roman" w:eastAsia="Times New Roman" w:hAnsi="Times New Roman" w:cs="Times New Roman"/>
          <w:b/>
          <w:sz w:val="24"/>
          <w:szCs w:val="24"/>
        </w:rPr>
      </w:pPr>
      <w:r w:rsidRPr="00783F18">
        <w:rPr>
          <w:rFonts w:ascii="Times New Roman" w:eastAsia="Times New Roman" w:hAnsi="Times New Roman" w:cs="Times New Roman"/>
          <w:b/>
          <w:sz w:val="24"/>
          <w:szCs w:val="24"/>
        </w:rPr>
        <w:t>The Brighton Collaboration Standardized Module for Vaccine Benefit-Risk Assessment</w:t>
      </w:r>
    </w:p>
    <w:p w14:paraId="26CBADD0" w14:textId="77777777" w:rsidR="009D7273" w:rsidRPr="007A1E8F" w:rsidRDefault="009D7273" w:rsidP="009D7273">
      <w:pPr>
        <w:pBdr>
          <w:top w:val="nil"/>
          <w:left w:val="nil"/>
          <w:bottom w:val="nil"/>
          <w:right w:val="nil"/>
          <w:between w:val="nil"/>
        </w:pBdr>
        <w:spacing w:after="0" w:line="480" w:lineRule="auto"/>
        <w:jc w:val="center"/>
        <w:rPr>
          <w:rFonts w:ascii="Times New Roman" w:eastAsia="Times New Roman" w:hAnsi="Times New Roman" w:cs="Times New Roman"/>
          <w:b/>
          <w:sz w:val="24"/>
          <w:szCs w:val="24"/>
        </w:rPr>
      </w:pPr>
    </w:p>
    <w:p w14:paraId="150ED1FE" w14:textId="5C9A2888" w:rsidR="009D7273" w:rsidRDefault="002A37D0" w:rsidP="007A1E8F">
      <w:pPr>
        <w:pBdr>
          <w:top w:val="nil"/>
          <w:left w:val="nil"/>
          <w:bottom w:val="nil"/>
          <w:right w:val="nil"/>
          <w:between w:val="nil"/>
        </w:pBdr>
        <w:spacing w:after="0" w:line="480" w:lineRule="auto"/>
        <w:jc w:val="center"/>
        <w:rPr>
          <w:rFonts w:ascii="Times New Roman" w:eastAsia="Times New Roman" w:hAnsi="Times New Roman" w:cs="Times New Roman"/>
          <w:bCs/>
          <w:sz w:val="24"/>
          <w:szCs w:val="24"/>
          <w:vertAlign w:val="superscript"/>
        </w:rPr>
      </w:pPr>
      <w:r w:rsidRPr="007A1E8F">
        <w:rPr>
          <w:rFonts w:ascii="Times New Roman" w:eastAsia="Times New Roman" w:hAnsi="Times New Roman" w:cs="Times New Roman"/>
          <w:bCs/>
          <w:sz w:val="24"/>
          <w:szCs w:val="24"/>
        </w:rPr>
        <w:t>Bennett Levitan</w:t>
      </w:r>
      <w:r w:rsidR="009D7273" w:rsidRPr="007A1E8F">
        <w:rPr>
          <w:rFonts w:ascii="Times New Roman" w:eastAsia="Times New Roman" w:hAnsi="Times New Roman" w:cs="Times New Roman"/>
          <w:bCs/>
          <w:sz w:val="24"/>
          <w:szCs w:val="24"/>
          <w:vertAlign w:val="superscript"/>
        </w:rPr>
        <w:t>1</w:t>
      </w:r>
      <w:r w:rsidR="007A1E8F" w:rsidRPr="007A1E8F">
        <w:rPr>
          <w:rFonts w:ascii="Times New Roman" w:eastAsia="Times New Roman" w:hAnsi="Times New Roman" w:cs="Times New Roman"/>
          <w:bCs/>
          <w:sz w:val="24"/>
          <w:szCs w:val="24"/>
        </w:rPr>
        <w:t xml:space="preserve">, </w:t>
      </w:r>
      <w:r w:rsidRPr="007A1E8F">
        <w:rPr>
          <w:rFonts w:ascii="Times New Roman" w:eastAsia="Times New Roman" w:hAnsi="Times New Roman" w:cs="Times New Roman"/>
          <w:bCs/>
          <w:sz w:val="24"/>
          <w:szCs w:val="24"/>
        </w:rPr>
        <w:t>Stephen C. Hadler</w:t>
      </w:r>
      <w:r w:rsidR="009D7273" w:rsidRPr="007A1E8F">
        <w:rPr>
          <w:rFonts w:ascii="Times New Roman" w:eastAsia="Times New Roman" w:hAnsi="Times New Roman" w:cs="Times New Roman"/>
          <w:bCs/>
          <w:sz w:val="24"/>
          <w:szCs w:val="24"/>
          <w:vertAlign w:val="superscript"/>
        </w:rPr>
        <w:t>2</w:t>
      </w:r>
      <w:r w:rsidR="007A1E8F" w:rsidRPr="007A1E8F">
        <w:rPr>
          <w:rFonts w:ascii="Times New Roman" w:eastAsia="Times New Roman" w:hAnsi="Times New Roman" w:cs="Times New Roman"/>
          <w:bCs/>
          <w:sz w:val="24"/>
          <w:szCs w:val="24"/>
        </w:rPr>
        <w:t xml:space="preserve">, </w:t>
      </w:r>
      <w:r w:rsidRPr="007A1E8F">
        <w:rPr>
          <w:rFonts w:ascii="Times New Roman" w:eastAsia="Times New Roman" w:hAnsi="Times New Roman" w:cs="Times New Roman"/>
          <w:bCs/>
          <w:sz w:val="24"/>
          <w:szCs w:val="24"/>
        </w:rPr>
        <w:t>William Hurst</w:t>
      </w:r>
      <w:r w:rsidR="009D7273" w:rsidRPr="007A1E8F">
        <w:rPr>
          <w:rFonts w:ascii="Times New Roman" w:eastAsia="Times New Roman" w:hAnsi="Times New Roman" w:cs="Times New Roman"/>
          <w:bCs/>
          <w:sz w:val="24"/>
          <w:szCs w:val="24"/>
          <w:vertAlign w:val="superscript"/>
        </w:rPr>
        <w:t>3</w:t>
      </w:r>
      <w:r w:rsidR="007A1E8F" w:rsidRPr="007A1E8F">
        <w:rPr>
          <w:rFonts w:ascii="Times New Roman" w:eastAsia="Times New Roman" w:hAnsi="Times New Roman" w:cs="Times New Roman"/>
          <w:bCs/>
          <w:sz w:val="24"/>
          <w:szCs w:val="24"/>
        </w:rPr>
        <w:t xml:space="preserve">, </w:t>
      </w:r>
      <w:r w:rsidR="00623A38" w:rsidRPr="007A1E8F">
        <w:rPr>
          <w:rFonts w:ascii="Times New Roman" w:eastAsia="Times New Roman" w:hAnsi="Times New Roman" w:cs="Times New Roman"/>
          <w:bCs/>
          <w:sz w:val="24"/>
          <w:szCs w:val="24"/>
        </w:rPr>
        <w:t>Hector S. Izurieta</w:t>
      </w:r>
      <w:r w:rsidR="00623A38">
        <w:rPr>
          <w:rFonts w:ascii="Times New Roman" w:eastAsia="Times New Roman" w:hAnsi="Times New Roman" w:cs="Times New Roman"/>
          <w:bCs/>
          <w:sz w:val="24"/>
          <w:szCs w:val="24"/>
          <w:vertAlign w:val="superscript"/>
        </w:rPr>
        <w:t>4</w:t>
      </w:r>
      <w:r w:rsidR="00623A38" w:rsidRPr="007A1E8F">
        <w:rPr>
          <w:rFonts w:ascii="Times New Roman" w:hAnsi="Times New Roman" w:cs="Times New Roman"/>
          <w:color w:val="000000"/>
          <w:sz w:val="24"/>
          <w:szCs w:val="24"/>
          <w:shd w:val="clear" w:color="auto" w:fill="FFFFFF"/>
        </w:rPr>
        <w:t xml:space="preserve">, </w:t>
      </w:r>
      <w:r w:rsidRPr="007A1E8F">
        <w:rPr>
          <w:rFonts w:ascii="Times New Roman" w:eastAsia="Times New Roman" w:hAnsi="Times New Roman" w:cs="Times New Roman"/>
          <w:bCs/>
          <w:sz w:val="24"/>
          <w:szCs w:val="24"/>
        </w:rPr>
        <w:t xml:space="preserve">Emily R. </w:t>
      </w:r>
      <w:r w:rsidR="00623A38" w:rsidRPr="007A1E8F">
        <w:rPr>
          <w:rFonts w:ascii="Times New Roman" w:eastAsia="Times New Roman" w:hAnsi="Times New Roman" w:cs="Times New Roman"/>
          <w:bCs/>
          <w:sz w:val="24"/>
          <w:szCs w:val="24"/>
        </w:rPr>
        <w:t>Smith</w:t>
      </w:r>
      <w:r w:rsidR="00623A38">
        <w:rPr>
          <w:rFonts w:ascii="Times New Roman" w:eastAsia="Times New Roman" w:hAnsi="Times New Roman" w:cs="Times New Roman"/>
          <w:bCs/>
          <w:sz w:val="24"/>
          <w:szCs w:val="24"/>
          <w:vertAlign w:val="superscript"/>
        </w:rPr>
        <w:t>5</w:t>
      </w:r>
      <w:r w:rsidR="007A1E8F" w:rsidRPr="007A1E8F">
        <w:rPr>
          <w:rFonts w:ascii="Times New Roman" w:eastAsia="Times New Roman" w:hAnsi="Times New Roman" w:cs="Times New Roman"/>
          <w:bCs/>
          <w:sz w:val="24"/>
          <w:szCs w:val="24"/>
        </w:rPr>
        <w:t xml:space="preserve">, Nicole L. </w:t>
      </w:r>
      <w:r w:rsidR="00623A38" w:rsidRPr="007A1E8F">
        <w:rPr>
          <w:rFonts w:ascii="Times New Roman" w:eastAsia="Times New Roman" w:hAnsi="Times New Roman" w:cs="Times New Roman"/>
          <w:bCs/>
          <w:sz w:val="24"/>
          <w:szCs w:val="24"/>
        </w:rPr>
        <w:t>Baker</w:t>
      </w:r>
      <w:r w:rsidR="00623A38">
        <w:rPr>
          <w:rFonts w:ascii="Times New Roman" w:eastAsia="Times New Roman" w:hAnsi="Times New Roman" w:cs="Times New Roman"/>
          <w:bCs/>
          <w:sz w:val="24"/>
          <w:szCs w:val="24"/>
          <w:vertAlign w:val="superscript"/>
        </w:rPr>
        <w:t>6</w:t>
      </w:r>
      <w:r w:rsidR="007A1E8F" w:rsidRPr="007A1E8F">
        <w:rPr>
          <w:rFonts w:ascii="Times New Roman" w:eastAsia="Times New Roman" w:hAnsi="Times New Roman" w:cs="Times New Roman"/>
          <w:bCs/>
          <w:sz w:val="24"/>
          <w:szCs w:val="24"/>
        </w:rPr>
        <w:t xml:space="preserve">, Vincent </w:t>
      </w:r>
      <w:r w:rsidR="00623A38" w:rsidRPr="007A1E8F">
        <w:rPr>
          <w:rFonts w:ascii="Times New Roman" w:eastAsia="Times New Roman" w:hAnsi="Times New Roman" w:cs="Times New Roman"/>
          <w:bCs/>
          <w:sz w:val="24"/>
          <w:szCs w:val="24"/>
        </w:rPr>
        <w:t>Bauchau</w:t>
      </w:r>
      <w:r w:rsidR="00623A38">
        <w:rPr>
          <w:rFonts w:ascii="Times New Roman" w:eastAsia="Times New Roman" w:hAnsi="Times New Roman" w:cs="Times New Roman"/>
          <w:bCs/>
          <w:sz w:val="24"/>
          <w:szCs w:val="24"/>
          <w:vertAlign w:val="superscript"/>
        </w:rPr>
        <w:t>7</w:t>
      </w:r>
      <w:r w:rsidR="007A1E8F" w:rsidRPr="007A1E8F">
        <w:rPr>
          <w:rFonts w:ascii="Times New Roman" w:eastAsia="Times New Roman" w:hAnsi="Times New Roman" w:cs="Times New Roman"/>
          <w:bCs/>
          <w:sz w:val="24"/>
          <w:szCs w:val="24"/>
        </w:rPr>
        <w:t xml:space="preserve">, Rebecca </w:t>
      </w:r>
      <w:r w:rsidR="00623A38" w:rsidRPr="007A1E8F">
        <w:rPr>
          <w:rFonts w:ascii="Times New Roman" w:eastAsia="Times New Roman" w:hAnsi="Times New Roman" w:cs="Times New Roman"/>
          <w:bCs/>
          <w:sz w:val="24"/>
          <w:szCs w:val="24"/>
        </w:rPr>
        <w:t>Chandler</w:t>
      </w:r>
      <w:r w:rsidR="00623A38">
        <w:rPr>
          <w:rFonts w:ascii="Times New Roman" w:eastAsia="Times New Roman" w:hAnsi="Times New Roman" w:cs="Times New Roman"/>
          <w:bCs/>
          <w:sz w:val="24"/>
          <w:szCs w:val="24"/>
          <w:vertAlign w:val="superscript"/>
        </w:rPr>
        <w:t>8</w:t>
      </w:r>
      <w:r w:rsidR="007A1E8F" w:rsidRPr="007A1E8F">
        <w:rPr>
          <w:rFonts w:ascii="Times New Roman" w:eastAsia="Times New Roman" w:hAnsi="Times New Roman" w:cs="Times New Roman"/>
          <w:bCs/>
          <w:sz w:val="24"/>
          <w:szCs w:val="24"/>
        </w:rPr>
        <w:t xml:space="preserve">, Robert T. </w:t>
      </w:r>
      <w:r w:rsidR="00623A38" w:rsidRPr="007A1E8F">
        <w:rPr>
          <w:rFonts w:ascii="Times New Roman" w:eastAsia="Times New Roman" w:hAnsi="Times New Roman" w:cs="Times New Roman"/>
          <w:bCs/>
          <w:sz w:val="24"/>
          <w:szCs w:val="24"/>
        </w:rPr>
        <w:t>Chen</w:t>
      </w:r>
      <w:r w:rsidR="00623A38">
        <w:rPr>
          <w:rFonts w:ascii="Times New Roman" w:eastAsia="Times New Roman" w:hAnsi="Times New Roman" w:cs="Times New Roman"/>
          <w:bCs/>
          <w:sz w:val="24"/>
          <w:szCs w:val="24"/>
          <w:vertAlign w:val="superscript"/>
        </w:rPr>
        <w:t>5</w:t>
      </w:r>
      <w:r w:rsidR="007A1E8F" w:rsidRPr="007A1E8F">
        <w:rPr>
          <w:rFonts w:ascii="Times New Roman" w:eastAsia="Times New Roman" w:hAnsi="Times New Roman" w:cs="Times New Roman"/>
          <w:bCs/>
          <w:sz w:val="24"/>
          <w:szCs w:val="24"/>
        </w:rPr>
        <w:t xml:space="preserve">, Danielle </w:t>
      </w:r>
      <w:r w:rsidR="00623A38" w:rsidRPr="007A1E8F">
        <w:rPr>
          <w:rFonts w:ascii="Times New Roman" w:eastAsia="Times New Roman" w:hAnsi="Times New Roman" w:cs="Times New Roman"/>
          <w:bCs/>
          <w:sz w:val="24"/>
          <w:szCs w:val="24"/>
        </w:rPr>
        <w:t>Craig</w:t>
      </w:r>
      <w:r w:rsidR="00623A38">
        <w:rPr>
          <w:rFonts w:ascii="Times New Roman" w:eastAsia="Times New Roman" w:hAnsi="Times New Roman" w:cs="Times New Roman"/>
          <w:bCs/>
          <w:sz w:val="24"/>
          <w:szCs w:val="24"/>
          <w:vertAlign w:val="superscript"/>
        </w:rPr>
        <w:t>8</w:t>
      </w:r>
      <w:r w:rsidR="007A1E8F" w:rsidRPr="007A1E8F">
        <w:rPr>
          <w:rFonts w:ascii="Times New Roman" w:eastAsia="Times New Roman" w:hAnsi="Times New Roman" w:cs="Times New Roman"/>
          <w:bCs/>
          <w:sz w:val="24"/>
          <w:szCs w:val="24"/>
        </w:rPr>
        <w:t xml:space="preserve">, </w:t>
      </w:r>
      <w:r w:rsidR="00623A38">
        <w:rPr>
          <w:rFonts w:ascii="Times New Roman" w:eastAsia="Times New Roman" w:hAnsi="Times New Roman" w:cs="Times New Roman"/>
          <w:bCs/>
          <w:sz w:val="24"/>
          <w:szCs w:val="24"/>
        </w:rPr>
        <w:t>Jay King</w:t>
      </w:r>
      <w:r w:rsidR="00604E75" w:rsidRPr="00623A38">
        <w:rPr>
          <w:rFonts w:ascii="Times New Roman" w:eastAsia="Times New Roman" w:hAnsi="Times New Roman" w:cs="Times New Roman"/>
          <w:bCs/>
          <w:sz w:val="24"/>
          <w:szCs w:val="24"/>
          <w:vertAlign w:val="superscript"/>
        </w:rPr>
        <w:t>9</w:t>
      </w:r>
      <w:r w:rsidR="00604E75">
        <w:rPr>
          <w:rFonts w:ascii="Times New Roman" w:eastAsia="Times New Roman" w:hAnsi="Times New Roman" w:cs="Times New Roman"/>
          <w:bCs/>
          <w:sz w:val="24"/>
          <w:szCs w:val="24"/>
        </w:rPr>
        <w:t>, Punnee</w:t>
      </w:r>
      <w:r w:rsidR="007A1E8F" w:rsidRPr="007A1E8F">
        <w:rPr>
          <w:rFonts w:ascii="Times New Roman" w:hAnsi="Times New Roman" w:cs="Times New Roman"/>
          <w:color w:val="000000"/>
          <w:sz w:val="24"/>
          <w:szCs w:val="24"/>
          <w:shd w:val="clear" w:color="auto" w:fill="FFFFFF"/>
        </w:rPr>
        <w:t xml:space="preserve"> Pitisuttithum</w:t>
      </w:r>
      <w:r w:rsidR="00623A38">
        <w:rPr>
          <w:rFonts w:ascii="Times New Roman" w:hAnsi="Times New Roman" w:cs="Times New Roman"/>
          <w:color w:val="000000"/>
          <w:sz w:val="24"/>
          <w:szCs w:val="24"/>
          <w:shd w:val="clear" w:color="auto" w:fill="FFFFFF"/>
          <w:vertAlign w:val="superscript"/>
        </w:rPr>
        <w:t>10</w:t>
      </w:r>
      <w:r w:rsidR="007A1E8F" w:rsidRPr="007A1E8F">
        <w:rPr>
          <w:rFonts w:ascii="Times New Roman" w:hAnsi="Times New Roman" w:cs="Times New Roman"/>
          <w:color w:val="000000"/>
          <w:sz w:val="24"/>
          <w:szCs w:val="24"/>
          <w:shd w:val="clear" w:color="auto" w:fill="FFFFFF"/>
        </w:rPr>
        <w:t>, Walter Strauss</w:t>
      </w:r>
      <w:r w:rsidR="007A1E8F" w:rsidRPr="007A1E8F">
        <w:rPr>
          <w:rFonts w:ascii="Times New Roman" w:hAnsi="Times New Roman" w:cs="Times New Roman"/>
          <w:color w:val="000000"/>
          <w:sz w:val="24"/>
          <w:szCs w:val="24"/>
          <w:shd w:val="clear" w:color="auto" w:fill="FFFFFF"/>
          <w:vertAlign w:val="superscript"/>
        </w:rPr>
        <w:t>1</w:t>
      </w:r>
      <w:r w:rsidR="00623A38">
        <w:rPr>
          <w:rFonts w:ascii="Times New Roman" w:hAnsi="Times New Roman" w:cs="Times New Roman"/>
          <w:color w:val="000000"/>
          <w:sz w:val="24"/>
          <w:szCs w:val="24"/>
          <w:shd w:val="clear" w:color="auto" w:fill="FFFFFF"/>
          <w:vertAlign w:val="superscript"/>
        </w:rPr>
        <w:t>1</w:t>
      </w:r>
      <w:r w:rsidR="007A1E8F" w:rsidRPr="007A1E8F">
        <w:rPr>
          <w:rFonts w:ascii="Times New Roman" w:hAnsi="Times New Roman" w:cs="Times New Roman"/>
          <w:color w:val="000000"/>
          <w:sz w:val="24"/>
          <w:szCs w:val="24"/>
          <w:shd w:val="clear" w:color="auto" w:fill="FFFFFF"/>
        </w:rPr>
        <w:t>, Sylvie Tomczyk</w:t>
      </w:r>
      <w:r w:rsidR="007A1E8F" w:rsidRPr="007A1E8F">
        <w:rPr>
          <w:rFonts w:ascii="Times New Roman" w:hAnsi="Times New Roman" w:cs="Times New Roman"/>
          <w:color w:val="000000"/>
          <w:sz w:val="24"/>
          <w:szCs w:val="24"/>
          <w:shd w:val="clear" w:color="auto" w:fill="FFFFFF"/>
          <w:vertAlign w:val="superscript"/>
        </w:rPr>
        <w:t>1</w:t>
      </w:r>
      <w:r w:rsidR="00623A38">
        <w:rPr>
          <w:rFonts w:ascii="Times New Roman" w:hAnsi="Times New Roman" w:cs="Times New Roman"/>
          <w:color w:val="000000"/>
          <w:sz w:val="24"/>
          <w:szCs w:val="24"/>
          <w:shd w:val="clear" w:color="auto" w:fill="FFFFFF"/>
          <w:vertAlign w:val="superscript"/>
        </w:rPr>
        <w:t>2</w:t>
      </w:r>
      <w:r w:rsidR="007A1E8F" w:rsidRPr="007A1E8F">
        <w:rPr>
          <w:rFonts w:ascii="Times New Roman" w:hAnsi="Times New Roman" w:cs="Times New Roman"/>
          <w:color w:val="000000"/>
          <w:sz w:val="24"/>
          <w:szCs w:val="24"/>
          <w:shd w:val="clear" w:color="auto" w:fill="FFFFFF"/>
        </w:rPr>
        <w:t>, Joseline Zafack</w:t>
      </w:r>
      <w:r w:rsidR="007A1E8F" w:rsidRPr="007A1E8F">
        <w:rPr>
          <w:rFonts w:ascii="Times New Roman" w:hAnsi="Times New Roman" w:cs="Times New Roman"/>
          <w:color w:val="000000"/>
          <w:sz w:val="24"/>
          <w:szCs w:val="24"/>
          <w:shd w:val="clear" w:color="auto" w:fill="FFFFFF"/>
          <w:vertAlign w:val="superscript"/>
        </w:rPr>
        <w:t>1</w:t>
      </w:r>
      <w:r w:rsidR="00623A38">
        <w:rPr>
          <w:rFonts w:ascii="Times New Roman" w:hAnsi="Times New Roman" w:cs="Times New Roman"/>
          <w:color w:val="000000"/>
          <w:sz w:val="24"/>
          <w:szCs w:val="24"/>
          <w:shd w:val="clear" w:color="auto" w:fill="FFFFFF"/>
          <w:vertAlign w:val="superscript"/>
        </w:rPr>
        <w:t>3</w:t>
      </w:r>
      <w:r w:rsidR="007A1E8F" w:rsidRPr="007A1E8F">
        <w:rPr>
          <w:rFonts w:ascii="Times New Roman" w:eastAsia="Times New Roman" w:hAnsi="Times New Roman" w:cs="Times New Roman"/>
          <w:bCs/>
          <w:sz w:val="24"/>
          <w:szCs w:val="24"/>
        </w:rPr>
        <w:t xml:space="preserve">, </w:t>
      </w:r>
      <w:r w:rsidRPr="007A1E8F">
        <w:rPr>
          <w:rFonts w:ascii="Times New Roman" w:eastAsia="Times New Roman" w:hAnsi="Times New Roman" w:cs="Times New Roman"/>
          <w:bCs/>
          <w:sz w:val="24"/>
          <w:szCs w:val="24"/>
        </w:rPr>
        <w:t>Sonali Kochhar</w:t>
      </w:r>
      <w:r w:rsidR="007A1E8F" w:rsidRPr="007A1E8F">
        <w:rPr>
          <w:rFonts w:ascii="Times New Roman" w:eastAsia="Times New Roman" w:hAnsi="Times New Roman" w:cs="Times New Roman"/>
          <w:bCs/>
          <w:sz w:val="24"/>
          <w:szCs w:val="24"/>
          <w:vertAlign w:val="superscript"/>
        </w:rPr>
        <w:t>1</w:t>
      </w:r>
      <w:r w:rsidR="00623A38">
        <w:rPr>
          <w:rFonts w:ascii="Times New Roman" w:eastAsia="Times New Roman" w:hAnsi="Times New Roman" w:cs="Times New Roman"/>
          <w:bCs/>
          <w:sz w:val="24"/>
          <w:szCs w:val="24"/>
          <w:vertAlign w:val="superscript"/>
        </w:rPr>
        <w:t>4</w:t>
      </w:r>
    </w:p>
    <w:p w14:paraId="2339E879" w14:textId="77777777" w:rsidR="007A1E8F" w:rsidRPr="007A1E8F" w:rsidRDefault="007A1E8F" w:rsidP="00604E75">
      <w:pPr>
        <w:pBdr>
          <w:top w:val="nil"/>
          <w:left w:val="nil"/>
          <w:bottom w:val="nil"/>
          <w:right w:val="nil"/>
          <w:between w:val="nil"/>
        </w:pBdr>
        <w:spacing w:after="0" w:line="480" w:lineRule="auto"/>
        <w:rPr>
          <w:rFonts w:ascii="Times New Roman" w:eastAsia="Times New Roman" w:hAnsi="Times New Roman" w:cs="Times New Roman"/>
          <w:bCs/>
          <w:sz w:val="24"/>
          <w:szCs w:val="24"/>
          <w:vertAlign w:val="superscript"/>
        </w:rPr>
      </w:pPr>
    </w:p>
    <w:p w14:paraId="6C1CD732" w14:textId="1AD4E5A7" w:rsidR="009D7273" w:rsidRPr="007A1E8F" w:rsidRDefault="009D7273" w:rsidP="009D7273">
      <w:pPr>
        <w:pBdr>
          <w:top w:val="nil"/>
          <w:left w:val="nil"/>
          <w:bottom w:val="nil"/>
          <w:right w:val="nil"/>
          <w:between w:val="nil"/>
        </w:pBdr>
        <w:spacing w:after="0" w:line="480" w:lineRule="auto"/>
        <w:jc w:val="center"/>
        <w:rPr>
          <w:rFonts w:ascii="Times New Roman" w:eastAsia="Times New Roman" w:hAnsi="Times New Roman" w:cs="Times New Roman"/>
          <w:bCs/>
          <w:sz w:val="24"/>
          <w:szCs w:val="24"/>
        </w:rPr>
      </w:pPr>
      <w:r w:rsidRPr="007A1E8F">
        <w:rPr>
          <w:rFonts w:ascii="Times New Roman" w:eastAsia="Times New Roman" w:hAnsi="Times New Roman" w:cs="Times New Roman"/>
          <w:bCs/>
          <w:sz w:val="24"/>
          <w:szCs w:val="24"/>
          <w:vertAlign w:val="superscript"/>
        </w:rPr>
        <w:t>1</w:t>
      </w:r>
      <w:r w:rsidR="007A1E8F" w:rsidRPr="007A1E8F">
        <w:rPr>
          <w:rFonts w:ascii="Times New Roman" w:eastAsia="Times New Roman" w:hAnsi="Times New Roman" w:cs="Times New Roman"/>
          <w:bCs/>
          <w:sz w:val="24"/>
          <w:szCs w:val="24"/>
          <w:vertAlign w:val="superscript"/>
        </w:rPr>
        <w:t xml:space="preserve"> </w:t>
      </w:r>
      <w:r w:rsidR="002A37D0" w:rsidRPr="007A1E8F">
        <w:rPr>
          <w:rFonts w:ascii="Times New Roman" w:eastAsia="Times New Roman" w:hAnsi="Times New Roman" w:cs="Times New Roman"/>
          <w:bCs/>
          <w:sz w:val="24"/>
          <w:szCs w:val="24"/>
        </w:rPr>
        <w:t>Janssen Research &amp; Development, LLC</w:t>
      </w:r>
      <w:r w:rsidR="00C80A7D">
        <w:rPr>
          <w:rFonts w:ascii="Times New Roman" w:eastAsia="Times New Roman" w:hAnsi="Times New Roman" w:cs="Times New Roman"/>
          <w:bCs/>
          <w:sz w:val="24"/>
          <w:szCs w:val="24"/>
        </w:rPr>
        <w:t xml:space="preserve">, </w:t>
      </w:r>
      <w:r w:rsidR="002D6AB9">
        <w:rPr>
          <w:rFonts w:ascii="Times New Roman" w:eastAsia="Times New Roman" w:hAnsi="Times New Roman" w:cs="Times New Roman"/>
          <w:bCs/>
          <w:sz w:val="24"/>
          <w:szCs w:val="24"/>
        </w:rPr>
        <w:t>USA</w:t>
      </w:r>
    </w:p>
    <w:p w14:paraId="44A55F3B" w14:textId="2E798E0D" w:rsidR="002A37D0" w:rsidRPr="007A1E8F" w:rsidRDefault="009D7273" w:rsidP="009D7273">
      <w:pPr>
        <w:pBdr>
          <w:top w:val="nil"/>
          <w:left w:val="nil"/>
          <w:bottom w:val="nil"/>
          <w:right w:val="nil"/>
          <w:between w:val="nil"/>
        </w:pBdr>
        <w:spacing w:after="0" w:line="480" w:lineRule="auto"/>
        <w:jc w:val="center"/>
        <w:rPr>
          <w:rFonts w:ascii="Times New Roman" w:eastAsia="Times New Roman" w:hAnsi="Times New Roman" w:cs="Times New Roman"/>
          <w:bCs/>
          <w:sz w:val="24"/>
          <w:szCs w:val="24"/>
        </w:rPr>
      </w:pPr>
      <w:r w:rsidRPr="007A1E8F">
        <w:rPr>
          <w:rFonts w:ascii="Times New Roman" w:eastAsia="Times New Roman" w:hAnsi="Times New Roman" w:cs="Times New Roman"/>
          <w:bCs/>
          <w:sz w:val="24"/>
          <w:szCs w:val="24"/>
          <w:vertAlign w:val="superscript"/>
        </w:rPr>
        <w:t>2</w:t>
      </w:r>
      <w:r w:rsidR="002A37D0" w:rsidRPr="007A1E8F">
        <w:rPr>
          <w:rFonts w:ascii="Times New Roman" w:hAnsi="Times New Roman" w:cs="Times New Roman"/>
          <w:bCs/>
          <w:sz w:val="24"/>
          <w:szCs w:val="24"/>
        </w:rPr>
        <w:t xml:space="preserve"> </w:t>
      </w:r>
      <w:r w:rsidR="002A37D0" w:rsidRPr="007A1E8F">
        <w:rPr>
          <w:rFonts w:ascii="Times New Roman" w:eastAsia="Times New Roman" w:hAnsi="Times New Roman" w:cs="Times New Roman"/>
          <w:bCs/>
          <w:sz w:val="24"/>
          <w:szCs w:val="24"/>
        </w:rPr>
        <w:t>Independent Consultant</w:t>
      </w:r>
      <w:r w:rsidR="00C80A7D">
        <w:rPr>
          <w:rFonts w:ascii="Times New Roman" w:eastAsia="Times New Roman" w:hAnsi="Times New Roman" w:cs="Times New Roman"/>
          <w:bCs/>
          <w:sz w:val="24"/>
          <w:szCs w:val="24"/>
        </w:rPr>
        <w:t xml:space="preserve">, </w:t>
      </w:r>
      <w:r w:rsidR="002D6AB9">
        <w:rPr>
          <w:rFonts w:ascii="Times New Roman" w:eastAsia="Times New Roman" w:hAnsi="Times New Roman" w:cs="Times New Roman"/>
          <w:bCs/>
          <w:sz w:val="24"/>
          <w:szCs w:val="24"/>
        </w:rPr>
        <w:t>Atlanta, GA, USA</w:t>
      </w:r>
    </w:p>
    <w:p w14:paraId="2E2F12CF" w14:textId="77777777" w:rsidR="00612694" w:rsidRPr="00814A60" w:rsidRDefault="00612694" w:rsidP="00612694">
      <w:pPr>
        <w:pBdr>
          <w:top w:val="nil"/>
          <w:left w:val="nil"/>
          <w:bottom w:val="nil"/>
          <w:right w:val="nil"/>
          <w:between w:val="nil"/>
        </w:pBdr>
        <w:spacing w:after="0" w:line="480" w:lineRule="auto"/>
        <w:jc w:val="center"/>
        <w:rPr>
          <w:rFonts w:ascii="Times New Roman" w:eastAsia="Times New Roman" w:hAnsi="Times New Roman" w:cs="Times New Roman"/>
          <w:bCs/>
          <w:sz w:val="24"/>
          <w:szCs w:val="24"/>
        </w:rPr>
      </w:pPr>
      <w:r w:rsidRPr="005B37B8">
        <w:rPr>
          <w:rFonts w:ascii="Times New Roman" w:eastAsia="Times New Roman" w:hAnsi="Times New Roman" w:cs="Times New Roman"/>
          <w:bCs/>
          <w:sz w:val="24"/>
          <w:szCs w:val="24"/>
          <w:vertAlign w:val="superscript"/>
        </w:rPr>
        <w:t xml:space="preserve">3 </w:t>
      </w:r>
      <w:r w:rsidRPr="00814A60">
        <w:rPr>
          <w:rFonts w:ascii="Times New Roman" w:eastAsia="Times New Roman" w:hAnsi="Times New Roman" w:cs="Times New Roman"/>
          <w:bCs/>
          <w:sz w:val="24"/>
          <w:szCs w:val="24"/>
        </w:rPr>
        <w:t xml:space="preserve">Sanofi, Bridgewater, NJ, USA </w:t>
      </w:r>
    </w:p>
    <w:p w14:paraId="5673BC38" w14:textId="2AE7E000" w:rsidR="00623A38" w:rsidRPr="007A1E8F" w:rsidRDefault="00623A38" w:rsidP="00623A38">
      <w:pPr>
        <w:pBdr>
          <w:top w:val="nil"/>
          <w:left w:val="nil"/>
          <w:bottom w:val="nil"/>
          <w:right w:val="nil"/>
          <w:between w:val="nil"/>
        </w:pBdr>
        <w:spacing w:after="0" w:line="480" w:lineRule="auto"/>
        <w:jc w:val="center"/>
        <w:rPr>
          <w:rFonts w:ascii="Times New Roman" w:hAnsi="Times New Roman" w:cs="Times New Roman"/>
          <w:color w:val="000000"/>
          <w:sz w:val="24"/>
          <w:szCs w:val="24"/>
          <w:shd w:val="clear" w:color="auto" w:fill="FFFFFF"/>
        </w:rPr>
      </w:pPr>
      <w:r>
        <w:rPr>
          <w:rFonts w:ascii="Times New Roman" w:eastAsia="Times New Roman" w:hAnsi="Times New Roman" w:cs="Times New Roman"/>
          <w:bCs/>
          <w:sz w:val="24"/>
          <w:szCs w:val="24"/>
          <w:vertAlign w:val="superscript"/>
        </w:rPr>
        <w:t>4</w:t>
      </w:r>
      <w:r w:rsidRPr="007A1E8F">
        <w:rPr>
          <w:rFonts w:ascii="Times New Roman" w:eastAsia="Times New Roman" w:hAnsi="Times New Roman" w:cs="Times New Roman"/>
          <w:bCs/>
          <w:sz w:val="24"/>
          <w:szCs w:val="24"/>
        </w:rPr>
        <w:t xml:space="preserve"> </w:t>
      </w:r>
      <w:r w:rsidRPr="00C80A7D">
        <w:rPr>
          <w:rFonts w:ascii="Times New Roman" w:hAnsi="Times New Roman" w:cs="Times New Roman"/>
          <w:color w:val="000000"/>
          <w:sz w:val="24"/>
          <w:szCs w:val="24"/>
          <w:shd w:val="clear" w:color="auto" w:fill="FFFFFF"/>
        </w:rPr>
        <w:t>Center for Biologics Evaluation and Research</w:t>
      </w:r>
      <w:r>
        <w:rPr>
          <w:rFonts w:ascii="Times New Roman" w:hAnsi="Times New Roman" w:cs="Times New Roman"/>
          <w:color w:val="000000"/>
          <w:sz w:val="24"/>
          <w:szCs w:val="24"/>
          <w:shd w:val="clear" w:color="auto" w:fill="FFFFFF"/>
        </w:rPr>
        <w:t xml:space="preserve">, </w:t>
      </w:r>
      <w:r w:rsidRPr="007A1E8F">
        <w:rPr>
          <w:rFonts w:ascii="Times New Roman" w:hAnsi="Times New Roman" w:cs="Times New Roman"/>
          <w:color w:val="000000"/>
          <w:sz w:val="24"/>
          <w:szCs w:val="24"/>
          <w:shd w:val="clear" w:color="auto" w:fill="FFFFFF"/>
        </w:rPr>
        <w:t>Food and Drug Administration</w:t>
      </w:r>
      <w:r>
        <w:rPr>
          <w:rFonts w:ascii="Times New Roman" w:hAnsi="Times New Roman" w:cs="Times New Roman"/>
          <w:color w:val="000000"/>
          <w:sz w:val="24"/>
          <w:szCs w:val="24"/>
          <w:shd w:val="clear" w:color="auto" w:fill="FFFFFF"/>
        </w:rPr>
        <w:t>, USA</w:t>
      </w:r>
    </w:p>
    <w:p w14:paraId="434D9DEC" w14:textId="5751A0B7" w:rsidR="002A37D0" w:rsidRPr="007A1E8F" w:rsidRDefault="00623A38" w:rsidP="002A37D0">
      <w:pPr>
        <w:pBdr>
          <w:top w:val="nil"/>
          <w:left w:val="nil"/>
          <w:bottom w:val="nil"/>
          <w:right w:val="nil"/>
          <w:between w:val="nil"/>
        </w:pBdr>
        <w:spacing w:after="0"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vertAlign w:val="superscript"/>
        </w:rPr>
        <w:t>5</w:t>
      </w:r>
      <w:r w:rsidR="007A1E8F" w:rsidRPr="007A1E8F">
        <w:rPr>
          <w:rFonts w:ascii="Times New Roman" w:eastAsia="Times New Roman" w:hAnsi="Times New Roman" w:cs="Times New Roman"/>
          <w:bCs/>
          <w:sz w:val="24"/>
          <w:szCs w:val="24"/>
          <w:vertAlign w:val="superscript"/>
        </w:rPr>
        <w:t xml:space="preserve"> </w:t>
      </w:r>
      <w:r w:rsidR="002A37D0" w:rsidRPr="007A1E8F">
        <w:rPr>
          <w:rFonts w:ascii="Times New Roman" w:eastAsia="Times New Roman" w:hAnsi="Times New Roman" w:cs="Times New Roman"/>
          <w:bCs/>
          <w:sz w:val="24"/>
          <w:szCs w:val="24"/>
        </w:rPr>
        <w:t>The Task Force for Global Health, Decatur, GA, USA</w:t>
      </w:r>
    </w:p>
    <w:p w14:paraId="388DB6F5" w14:textId="28C7A1C2" w:rsidR="007A1E8F" w:rsidRPr="007A1E8F" w:rsidRDefault="00623A38" w:rsidP="007A1E8F">
      <w:pPr>
        <w:pBdr>
          <w:top w:val="nil"/>
          <w:left w:val="nil"/>
          <w:bottom w:val="nil"/>
          <w:right w:val="nil"/>
          <w:between w:val="nil"/>
        </w:pBdr>
        <w:spacing w:after="0" w:line="480" w:lineRule="auto"/>
        <w:jc w:val="center"/>
        <w:rPr>
          <w:rFonts w:ascii="Times New Roman" w:hAnsi="Times New Roman" w:cs="Times New Roman"/>
          <w:color w:val="000000"/>
          <w:sz w:val="24"/>
          <w:szCs w:val="24"/>
          <w:shd w:val="clear" w:color="auto" w:fill="FFFFFF"/>
        </w:rPr>
      </w:pPr>
      <w:r>
        <w:rPr>
          <w:rFonts w:ascii="Times New Roman" w:eastAsia="Times New Roman" w:hAnsi="Times New Roman" w:cs="Times New Roman"/>
          <w:bCs/>
          <w:sz w:val="24"/>
          <w:szCs w:val="24"/>
          <w:vertAlign w:val="superscript"/>
        </w:rPr>
        <w:t>6</w:t>
      </w:r>
      <w:r w:rsidR="007A1E8F" w:rsidRPr="007A1E8F">
        <w:rPr>
          <w:rFonts w:ascii="Times New Roman" w:hAnsi="Times New Roman" w:cs="Times New Roman"/>
          <w:sz w:val="24"/>
          <w:szCs w:val="24"/>
        </w:rPr>
        <w:t xml:space="preserve"> </w:t>
      </w:r>
      <w:r w:rsidR="007A1E8F" w:rsidRPr="007A1E8F">
        <w:rPr>
          <w:rFonts w:ascii="Times New Roman" w:hAnsi="Times New Roman" w:cs="Times New Roman"/>
          <w:color w:val="000000"/>
          <w:sz w:val="24"/>
          <w:szCs w:val="24"/>
          <w:shd w:val="clear" w:color="auto" w:fill="FFFFFF"/>
        </w:rPr>
        <w:t>Novavax, Inc.</w:t>
      </w:r>
      <w:r w:rsidR="00C80A7D">
        <w:rPr>
          <w:rFonts w:ascii="Times New Roman" w:hAnsi="Times New Roman" w:cs="Times New Roman"/>
          <w:color w:val="000000"/>
          <w:sz w:val="24"/>
          <w:szCs w:val="24"/>
          <w:shd w:val="clear" w:color="auto" w:fill="FFFFFF"/>
        </w:rPr>
        <w:t xml:space="preserve">, </w:t>
      </w:r>
      <w:r w:rsidR="00C80A7D" w:rsidRPr="00C80A7D">
        <w:rPr>
          <w:rFonts w:ascii="Times New Roman" w:hAnsi="Times New Roman" w:cs="Times New Roman"/>
          <w:color w:val="000000"/>
          <w:sz w:val="24"/>
          <w:szCs w:val="24"/>
          <w:shd w:val="clear" w:color="auto" w:fill="FFFFFF"/>
        </w:rPr>
        <w:t>Gaithersburg, MD</w:t>
      </w:r>
      <w:r w:rsidR="00C80A7D">
        <w:rPr>
          <w:rFonts w:ascii="Times New Roman" w:hAnsi="Times New Roman" w:cs="Times New Roman"/>
          <w:color w:val="000000"/>
          <w:sz w:val="24"/>
          <w:szCs w:val="24"/>
          <w:shd w:val="clear" w:color="auto" w:fill="FFFFFF"/>
        </w:rPr>
        <w:t>, United States</w:t>
      </w:r>
    </w:p>
    <w:p w14:paraId="5A159BBF" w14:textId="38075953" w:rsidR="007A1E8F" w:rsidRPr="007A1E8F" w:rsidRDefault="00623A38" w:rsidP="007A1E8F">
      <w:pPr>
        <w:pBdr>
          <w:top w:val="nil"/>
          <w:left w:val="nil"/>
          <w:bottom w:val="nil"/>
          <w:right w:val="nil"/>
          <w:between w:val="nil"/>
        </w:pBdr>
        <w:spacing w:after="0"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vertAlign w:val="superscript"/>
        </w:rPr>
        <w:t>7</w:t>
      </w:r>
      <w:r w:rsidR="007A1E8F" w:rsidRPr="007A1E8F">
        <w:rPr>
          <w:rFonts w:ascii="Times New Roman" w:eastAsia="Times New Roman" w:hAnsi="Times New Roman" w:cs="Times New Roman"/>
          <w:bCs/>
          <w:sz w:val="24"/>
          <w:szCs w:val="24"/>
          <w:vertAlign w:val="superscript"/>
        </w:rPr>
        <w:t xml:space="preserve"> </w:t>
      </w:r>
      <w:r w:rsidR="007A1E8F" w:rsidRPr="007A1E8F">
        <w:rPr>
          <w:rFonts w:ascii="Times New Roman" w:hAnsi="Times New Roman" w:cs="Times New Roman"/>
          <w:color w:val="000000"/>
          <w:sz w:val="24"/>
          <w:szCs w:val="24"/>
          <w:shd w:val="clear" w:color="auto" w:fill="FFFFFF"/>
        </w:rPr>
        <w:t>GSK, Vaccine Safety, Wavre, Belgium</w:t>
      </w:r>
    </w:p>
    <w:p w14:paraId="0A04C981" w14:textId="6713ED0A" w:rsidR="007A1E8F" w:rsidRDefault="00623A38" w:rsidP="007A1E8F">
      <w:pPr>
        <w:pBdr>
          <w:top w:val="nil"/>
          <w:left w:val="nil"/>
          <w:bottom w:val="nil"/>
          <w:right w:val="nil"/>
          <w:between w:val="nil"/>
        </w:pBdr>
        <w:spacing w:after="0" w:line="480" w:lineRule="auto"/>
        <w:jc w:val="center"/>
        <w:rPr>
          <w:rFonts w:ascii="Times New Roman" w:hAnsi="Times New Roman" w:cs="Times New Roman"/>
          <w:color w:val="000000"/>
          <w:sz w:val="24"/>
          <w:szCs w:val="24"/>
          <w:shd w:val="clear" w:color="auto" w:fill="FFFFFF"/>
        </w:rPr>
      </w:pPr>
      <w:r>
        <w:rPr>
          <w:rFonts w:ascii="Times New Roman" w:eastAsia="Times New Roman" w:hAnsi="Times New Roman" w:cs="Times New Roman"/>
          <w:bCs/>
          <w:sz w:val="24"/>
          <w:szCs w:val="24"/>
          <w:vertAlign w:val="superscript"/>
        </w:rPr>
        <w:t>8</w:t>
      </w:r>
      <w:r w:rsidR="007A1E8F" w:rsidRPr="007A1E8F">
        <w:rPr>
          <w:rFonts w:ascii="Times New Roman" w:hAnsi="Times New Roman" w:cs="Times New Roman"/>
          <w:color w:val="000000"/>
          <w:sz w:val="24"/>
          <w:szCs w:val="24"/>
          <w:shd w:val="clear" w:color="auto" w:fill="FFFFFF"/>
        </w:rPr>
        <w:t xml:space="preserve"> Coalition of Epidemic Preparedness Innovations, London, UK</w:t>
      </w:r>
    </w:p>
    <w:p w14:paraId="66DFEC5B" w14:textId="77777777" w:rsidR="00612694" w:rsidRPr="00814A60" w:rsidRDefault="00612694" w:rsidP="00612694">
      <w:pPr>
        <w:pBdr>
          <w:top w:val="nil"/>
          <w:left w:val="nil"/>
          <w:bottom w:val="nil"/>
          <w:right w:val="nil"/>
          <w:between w:val="nil"/>
        </w:pBdr>
        <w:spacing w:after="0" w:line="480" w:lineRule="auto"/>
        <w:jc w:val="center"/>
        <w:rPr>
          <w:rFonts w:ascii="Times New Roman" w:eastAsia="Times New Roman" w:hAnsi="Times New Roman" w:cs="Times New Roman"/>
          <w:bCs/>
          <w:sz w:val="24"/>
          <w:szCs w:val="24"/>
        </w:rPr>
      </w:pPr>
      <w:r w:rsidRPr="005B37B8">
        <w:rPr>
          <w:rFonts w:ascii="Times New Roman" w:hAnsi="Times New Roman" w:cs="Times New Roman"/>
          <w:color w:val="000000"/>
          <w:sz w:val="24"/>
          <w:szCs w:val="24"/>
          <w:shd w:val="clear" w:color="auto" w:fill="FFFFFF"/>
          <w:vertAlign w:val="superscript"/>
        </w:rPr>
        <w:t>9</w:t>
      </w:r>
      <w:r w:rsidRPr="00814A6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AstraZeneca,</w:t>
      </w:r>
      <w:r w:rsidRPr="005B37B8">
        <w:rPr>
          <w:rFonts w:ascii="Times New Roman" w:hAnsi="Times New Roman" w:cs="Times New Roman"/>
          <w:sz w:val="24"/>
          <w:szCs w:val="24"/>
          <w:lang w:val="en-US"/>
        </w:rPr>
        <w:t xml:space="preserve"> Cambridge, UK</w:t>
      </w:r>
    </w:p>
    <w:p w14:paraId="094615C9" w14:textId="6651E423" w:rsidR="007A1E8F" w:rsidRPr="007A1E8F" w:rsidRDefault="00623A38" w:rsidP="007A1E8F">
      <w:pPr>
        <w:pBdr>
          <w:top w:val="nil"/>
          <w:left w:val="nil"/>
          <w:bottom w:val="nil"/>
          <w:right w:val="nil"/>
          <w:between w:val="nil"/>
        </w:pBdr>
        <w:spacing w:after="0"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vertAlign w:val="superscript"/>
        </w:rPr>
        <w:t>10</w:t>
      </w:r>
      <w:r w:rsidR="007A1E8F" w:rsidRPr="007A1E8F">
        <w:rPr>
          <w:rFonts w:ascii="Times New Roman" w:eastAsia="Times New Roman" w:hAnsi="Times New Roman" w:cs="Times New Roman"/>
          <w:bCs/>
          <w:sz w:val="24"/>
          <w:szCs w:val="24"/>
          <w:vertAlign w:val="superscript"/>
        </w:rPr>
        <w:t xml:space="preserve"> </w:t>
      </w:r>
      <w:r w:rsidR="007A1E8F" w:rsidRPr="007A1E8F">
        <w:rPr>
          <w:rFonts w:ascii="Times New Roman" w:hAnsi="Times New Roman" w:cs="Times New Roman"/>
          <w:color w:val="000000"/>
          <w:sz w:val="24"/>
          <w:szCs w:val="24"/>
          <w:shd w:val="clear" w:color="auto" w:fill="FFFFFF"/>
        </w:rPr>
        <w:t>Vaccine Trial Centre, Faculty of Tropical Medicine, Mahidol University</w:t>
      </w:r>
    </w:p>
    <w:p w14:paraId="33845153" w14:textId="77777777" w:rsidR="00612694" w:rsidRPr="00814A60" w:rsidRDefault="00612694" w:rsidP="00612694">
      <w:pPr>
        <w:pBdr>
          <w:top w:val="nil"/>
          <w:left w:val="nil"/>
          <w:bottom w:val="nil"/>
          <w:right w:val="nil"/>
          <w:between w:val="nil"/>
        </w:pBdr>
        <w:spacing w:after="0" w:line="480" w:lineRule="auto"/>
        <w:jc w:val="center"/>
        <w:rPr>
          <w:rFonts w:ascii="Times New Roman" w:eastAsia="Times New Roman" w:hAnsi="Times New Roman" w:cs="Times New Roman"/>
          <w:bCs/>
          <w:sz w:val="24"/>
          <w:szCs w:val="24"/>
        </w:rPr>
      </w:pPr>
      <w:r w:rsidRPr="005B37B8">
        <w:rPr>
          <w:rFonts w:ascii="Times New Roman" w:eastAsia="Times New Roman" w:hAnsi="Times New Roman" w:cs="Times New Roman"/>
          <w:bCs/>
          <w:sz w:val="24"/>
          <w:szCs w:val="24"/>
          <w:vertAlign w:val="superscript"/>
        </w:rPr>
        <w:t xml:space="preserve">11 </w:t>
      </w:r>
      <w:r w:rsidRPr="005B37B8">
        <w:rPr>
          <w:rFonts w:ascii="Times New Roman" w:eastAsia="Times New Roman" w:hAnsi="Times New Roman" w:cs="Times New Roman"/>
          <w:bCs/>
          <w:sz w:val="24"/>
          <w:szCs w:val="24"/>
        </w:rPr>
        <w:t>Moderna</w:t>
      </w:r>
      <w:r w:rsidRPr="00814A60">
        <w:rPr>
          <w:rFonts w:ascii="Times New Roman" w:eastAsia="Times New Roman" w:hAnsi="Times New Roman" w:cs="Times New Roman"/>
          <w:bCs/>
          <w:sz w:val="24"/>
          <w:szCs w:val="24"/>
        </w:rPr>
        <w:t>, Inc. Cambridge, MA, USA</w:t>
      </w:r>
    </w:p>
    <w:p w14:paraId="03F1B15E" w14:textId="3C78AF6E" w:rsidR="007A1E8F" w:rsidRPr="007A1E8F" w:rsidRDefault="007A1E8F" w:rsidP="007A1E8F">
      <w:pPr>
        <w:pBdr>
          <w:top w:val="nil"/>
          <w:left w:val="nil"/>
          <w:bottom w:val="nil"/>
          <w:right w:val="nil"/>
          <w:between w:val="nil"/>
        </w:pBdr>
        <w:spacing w:after="0" w:line="480" w:lineRule="auto"/>
        <w:jc w:val="center"/>
        <w:rPr>
          <w:rFonts w:ascii="Times New Roman" w:eastAsia="Times New Roman" w:hAnsi="Times New Roman" w:cs="Times New Roman"/>
          <w:bCs/>
          <w:sz w:val="24"/>
          <w:szCs w:val="24"/>
        </w:rPr>
      </w:pPr>
      <w:r w:rsidRPr="007A1E8F">
        <w:rPr>
          <w:rFonts w:ascii="Times New Roman" w:eastAsia="Times New Roman" w:hAnsi="Times New Roman" w:cs="Times New Roman"/>
          <w:bCs/>
          <w:sz w:val="24"/>
          <w:szCs w:val="24"/>
          <w:vertAlign w:val="superscript"/>
        </w:rPr>
        <w:t>1</w:t>
      </w:r>
      <w:r w:rsidR="00623A38">
        <w:rPr>
          <w:rFonts w:ascii="Times New Roman" w:eastAsia="Times New Roman" w:hAnsi="Times New Roman" w:cs="Times New Roman"/>
          <w:bCs/>
          <w:sz w:val="24"/>
          <w:szCs w:val="24"/>
          <w:vertAlign w:val="superscript"/>
        </w:rPr>
        <w:t>2</w:t>
      </w:r>
      <w:r w:rsidRPr="007A1E8F">
        <w:rPr>
          <w:rFonts w:ascii="Times New Roman" w:eastAsia="Times New Roman" w:hAnsi="Times New Roman" w:cs="Times New Roman"/>
          <w:bCs/>
          <w:sz w:val="24"/>
          <w:szCs w:val="24"/>
          <w:vertAlign w:val="superscript"/>
        </w:rPr>
        <w:t xml:space="preserve"> </w:t>
      </w:r>
      <w:r w:rsidRPr="007A1E8F">
        <w:rPr>
          <w:rFonts w:ascii="Times New Roman" w:hAnsi="Times New Roman" w:cs="Times New Roman"/>
          <w:color w:val="000000"/>
          <w:sz w:val="24"/>
          <w:szCs w:val="24"/>
          <w:shd w:val="clear" w:color="auto" w:fill="FFFFFF"/>
        </w:rPr>
        <w:t xml:space="preserve">Independent Pharmacovigilance Consultant - General </w:t>
      </w:r>
      <w:r w:rsidR="00AC4BA7">
        <w:rPr>
          <w:rFonts w:ascii="Times New Roman" w:hAnsi="Times New Roman" w:cs="Times New Roman"/>
          <w:color w:val="000000"/>
          <w:sz w:val="24"/>
          <w:szCs w:val="24"/>
          <w:shd w:val="clear" w:color="auto" w:fill="FFFFFF"/>
        </w:rPr>
        <w:t>P</w:t>
      </w:r>
      <w:r w:rsidR="00AC4BA7" w:rsidRPr="007A1E8F">
        <w:rPr>
          <w:rFonts w:ascii="Times New Roman" w:hAnsi="Times New Roman" w:cs="Times New Roman"/>
          <w:color w:val="000000"/>
          <w:sz w:val="24"/>
          <w:szCs w:val="24"/>
          <w:shd w:val="clear" w:color="auto" w:fill="FFFFFF"/>
        </w:rPr>
        <w:t>racti</w:t>
      </w:r>
      <w:r w:rsidR="00612694">
        <w:rPr>
          <w:rFonts w:ascii="Times New Roman" w:hAnsi="Times New Roman" w:cs="Times New Roman"/>
          <w:color w:val="000000"/>
          <w:sz w:val="24"/>
          <w:szCs w:val="24"/>
          <w:shd w:val="clear" w:color="auto" w:fill="FFFFFF"/>
        </w:rPr>
        <w:t>ti</w:t>
      </w:r>
      <w:r w:rsidR="00AC4BA7" w:rsidRPr="007A1E8F">
        <w:rPr>
          <w:rFonts w:ascii="Times New Roman" w:hAnsi="Times New Roman" w:cs="Times New Roman"/>
          <w:color w:val="000000"/>
          <w:sz w:val="24"/>
          <w:szCs w:val="24"/>
          <w:shd w:val="clear" w:color="auto" w:fill="FFFFFF"/>
        </w:rPr>
        <w:t>oner</w:t>
      </w:r>
    </w:p>
    <w:p w14:paraId="6A2E0C95" w14:textId="50F0EAA6" w:rsidR="007A1E8F" w:rsidRPr="007A1E8F" w:rsidRDefault="007A1E8F" w:rsidP="007A1E8F">
      <w:pPr>
        <w:pBdr>
          <w:top w:val="nil"/>
          <w:left w:val="nil"/>
          <w:bottom w:val="nil"/>
          <w:right w:val="nil"/>
          <w:between w:val="nil"/>
        </w:pBdr>
        <w:spacing w:after="0" w:line="480" w:lineRule="auto"/>
        <w:jc w:val="center"/>
        <w:rPr>
          <w:rFonts w:ascii="Times New Roman" w:eastAsia="Times New Roman" w:hAnsi="Times New Roman" w:cs="Times New Roman"/>
          <w:bCs/>
          <w:sz w:val="24"/>
          <w:szCs w:val="24"/>
        </w:rPr>
      </w:pPr>
      <w:r w:rsidRPr="007A1E8F">
        <w:rPr>
          <w:rFonts w:ascii="Times New Roman" w:eastAsia="Times New Roman" w:hAnsi="Times New Roman" w:cs="Times New Roman"/>
          <w:bCs/>
          <w:sz w:val="24"/>
          <w:szCs w:val="24"/>
          <w:vertAlign w:val="superscript"/>
        </w:rPr>
        <w:t>1</w:t>
      </w:r>
      <w:r w:rsidR="00623A38">
        <w:rPr>
          <w:rFonts w:ascii="Times New Roman" w:eastAsia="Times New Roman" w:hAnsi="Times New Roman" w:cs="Times New Roman"/>
          <w:bCs/>
          <w:sz w:val="24"/>
          <w:szCs w:val="24"/>
          <w:vertAlign w:val="superscript"/>
        </w:rPr>
        <w:t>3</w:t>
      </w:r>
      <w:r w:rsidRPr="007A1E8F">
        <w:rPr>
          <w:rFonts w:ascii="Times New Roman" w:eastAsia="Times New Roman" w:hAnsi="Times New Roman" w:cs="Times New Roman"/>
          <w:bCs/>
          <w:sz w:val="24"/>
          <w:szCs w:val="24"/>
          <w:vertAlign w:val="superscript"/>
        </w:rPr>
        <w:t xml:space="preserve"> </w:t>
      </w:r>
      <w:r w:rsidRPr="007A1E8F">
        <w:rPr>
          <w:rFonts w:ascii="Times New Roman" w:hAnsi="Times New Roman" w:cs="Times New Roman"/>
          <w:color w:val="000000"/>
          <w:sz w:val="24"/>
          <w:szCs w:val="24"/>
          <w:shd w:val="clear" w:color="auto" w:fill="FFFFFF"/>
        </w:rPr>
        <w:t>Centre for Immunization Readiness, Public Health Agency of Canada, Ottawa, ON</w:t>
      </w:r>
    </w:p>
    <w:p w14:paraId="780F97F9" w14:textId="11440981" w:rsidR="007A1E8F" w:rsidRPr="002A37D0" w:rsidRDefault="007A1E8F" w:rsidP="007A1E8F">
      <w:pPr>
        <w:pBdr>
          <w:top w:val="nil"/>
          <w:left w:val="nil"/>
          <w:bottom w:val="nil"/>
          <w:right w:val="nil"/>
          <w:between w:val="nil"/>
        </w:pBdr>
        <w:spacing w:after="0" w:line="480" w:lineRule="auto"/>
        <w:jc w:val="center"/>
        <w:rPr>
          <w:rFonts w:ascii="Times New Roman" w:eastAsia="Times New Roman" w:hAnsi="Times New Roman" w:cs="Times New Roman"/>
          <w:bCs/>
          <w:sz w:val="24"/>
          <w:szCs w:val="24"/>
        </w:rPr>
      </w:pPr>
      <w:r w:rsidRPr="007A1E8F">
        <w:rPr>
          <w:rFonts w:ascii="Times New Roman" w:eastAsia="Times New Roman" w:hAnsi="Times New Roman" w:cs="Times New Roman"/>
          <w:bCs/>
          <w:sz w:val="24"/>
          <w:szCs w:val="24"/>
          <w:vertAlign w:val="superscript"/>
        </w:rPr>
        <w:t>1</w:t>
      </w:r>
      <w:r w:rsidR="00623A38">
        <w:rPr>
          <w:rFonts w:ascii="Times New Roman" w:eastAsia="Times New Roman" w:hAnsi="Times New Roman" w:cs="Times New Roman"/>
          <w:bCs/>
          <w:sz w:val="24"/>
          <w:szCs w:val="24"/>
          <w:vertAlign w:val="superscript"/>
        </w:rPr>
        <w:t>4</w:t>
      </w:r>
      <w:r w:rsidRPr="007A1E8F">
        <w:rPr>
          <w:rFonts w:ascii="Times New Roman" w:eastAsia="Times New Roman" w:hAnsi="Times New Roman" w:cs="Times New Roman"/>
          <w:bCs/>
          <w:sz w:val="24"/>
          <w:szCs w:val="24"/>
          <w:vertAlign w:val="superscript"/>
        </w:rPr>
        <w:t xml:space="preserve"> </w:t>
      </w:r>
      <w:r w:rsidRPr="007A1E8F">
        <w:rPr>
          <w:rFonts w:ascii="Times New Roman" w:hAnsi="Times New Roman" w:cs="Times New Roman"/>
          <w:color w:val="000000"/>
          <w:sz w:val="24"/>
          <w:szCs w:val="24"/>
          <w:shd w:val="clear" w:color="auto" w:fill="FFFFFF"/>
        </w:rPr>
        <w:t>University of Washington, Seattle, USA; Global Healthcare Consulting, India</w:t>
      </w:r>
    </w:p>
    <w:p w14:paraId="274F9C22" w14:textId="77777777" w:rsidR="009D7273" w:rsidRPr="00783F18" w:rsidRDefault="009D7273" w:rsidP="007A1E8F">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65E46CC6" w14:textId="77777777" w:rsidR="009D7273" w:rsidRPr="00783F18" w:rsidRDefault="009D7273" w:rsidP="009D7273">
      <w:pPr>
        <w:spacing w:after="0" w:line="480" w:lineRule="auto"/>
        <w:jc w:val="both"/>
        <w:rPr>
          <w:rFonts w:ascii="Times New Roman" w:eastAsia="Times New Roman" w:hAnsi="Times New Roman" w:cs="Times New Roman"/>
          <w:b/>
          <w:sz w:val="24"/>
          <w:szCs w:val="24"/>
        </w:rPr>
      </w:pPr>
      <w:r w:rsidRPr="00783F18">
        <w:rPr>
          <w:rFonts w:ascii="Times New Roman" w:eastAsia="Times New Roman" w:hAnsi="Times New Roman" w:cs="Times New Roman"/>
          <w:b/>
          <w:sz w:val="24"/>
          <w:szCs w:val="24"/>
        </w:rPr>
        <w:t xml:space="preserve">Keywords: </w:t>
      </w:r>
    </w:p>
    <w:p w14:paraId="77355B03" w14:textId="1F199735" w:rsidR="009D7273" w:rsidRDefault="009D7273" w:rsidP="00C80A7D">
      <w:pPr>
        <w:spacing w:after="0" w:line="480" w:lineRule="auto"/>
        <w:ind w:firstLine="720"/>
        <w:jc w:val="both"/>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 xml:space="preserve">Benefit-risk; module; vaccine safety; vaccines; guidelines  </w:t>
      </w:r>
    </w:p>
    <w:p w14:paraId="4F58DCC0" w14:textId="77777777" w:rsidR="002D6AB9" w:rsidRPr="00783F18" w:rsidRDefault="002D6AB9" w:rsidP="00C80A7D">
      <w:pPr>
        <w:spacing w:after="0" w:line="480" w:lineRule="auto"/>
        <w:ind w:firstLine="720"/>
        <w:jc w:val="both"/>
        <w:rPr>
          <w:rFonts w:ascii="Times New Roman" w:eastAsia="Times New Roman" w:hAnsi="Times New Roman" w:cs="Times New Roman"/>
          <w:b/>
          <w:sz w:val="24"/>
          <w:szCs w:val="24"/>
        </w:rPr>
      </w:pPr>
    </w:p>
    <w:p w14:paraId="20877D56" w14:textId="77777777" w:rsidR="00943A61" w:rsidRPr="00783F18" w:rsidRDefault="00017C61" w:rsidP="009D7273">
      <w:pPr>
        <w:spacing w:after="0" w:line="480" w:lineRule="auto"/>
        <w:jc w:val="both"/>
        <w:rPr>
          <w:rFonts w:ascii="Times New Roman" w:eastAsia="Times New Roman" w:hAnsi="Times New Roman" w:cs="Times New Roman"/>
          <w:b/>
          <w:sz w:val="24"/>
          <w:szCs w:val="24"/>
        </w:rPr>
      </w:pPr>
      <w:r w:rsidRPr="00783F18">
        <w:rPr>
          <w:rFonts w:ascii="Times New Roman" w:eastAsia="Times New Roman" w:hAnsi="Times New Roman" w:cs="Times New Roman"/>
          <w:b/>
          <w:sz w:val="24"/>
          <w:szCs w:val="24"/>
        </w:rPr>
        <w:lastRenderedPageBreak/>
        <w:t>Abstract</w:t>
      </w:r>
    </w:p>
    <w:p w14:paraId="32E02E53" w14:textId="120CFF92" w:rsidR="009D7273" w:rsidRDefault="00851165" w:rsidP="009D727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851165">
        <w:rPr>
          <w:rFonts w:ascii="Times New Roman" w:eastAsia="Times New Roman" w:hAnsi="Times New Roman" w:cs="Times New Roman"/>
          <w:color w:val="000000"/>
          <w:sz w:val="24"/>
          <w:szCs w:val="24"/>
        </w:rPr>
        <w:t xml:space="preserve">Vaccine Benefit-Risk (B-R) assessment consists of evaluating the demonstrated benefits and risks of a vaccine and making a judgment on whether the expected key benefits outweigh the potential key risks associated with its expected use.  B-R </w:t>
      </w:r>
      <w:r w:rsidR="00D90AA1" w:rsidRPr="00851165">
        <w:rPr>
          <w:rFonts w:ascii="Times New Roman" w:eastAsia="Times New Roman" w:hAnsi="Times New Roman" w:cs="Times New Roman"/>
          <w:color w:val="000000"/>
          <w:sz w:val="24"/>
          <w:szCs w:val="24"/>
        </w:rPr>
        <w:t>suppor</w:t>
      </w:r>
      <w:r w:rsidR="00D90AA1">
        <w:rPr>
          <w:rFonts w:ascii="Times New Roman" w:eastAsia="Times New Roman" w:hAnsi="Times New Roman" w:cs="Times New Roman"/>
          <w:color w:val="000000"/>
          <w:sz w:val="24"/>
          <w:szCs w:val="24"/>
        </w:rPr>
        <w:t>ts</w:t>
      </w:r>
      <w:r w:rsidRPr="00851165">
        <w:rPr>
          <w:rFonts w:ascii="Times New Roman" w:eastAsia="Times New Roman" w:hAnsi="Times New Roman" w:cs="Times New Roman"/>
          <w:color w:val="000000"/>
          <w:sz w:val="24"/>
          <w:szCs w:val="24"/>
        </w:rPr>
        <w:t xml:space="preserve"> regulatory and public health decision-making throughout the vaccine’s lifecycle. In August 2021,</w:t>
      </w:r>
      <w:r w:rsidR="00CA2C4B">
        <w:rPr>
          <w:rFonts w:ascii="Times New Roman" w:eastAsia="Times New Roman" w:hAnsi="Times New Roman" w:cs="Times New Roman"/>
          <w:color w:val="000000"/>
          <w:sz w:val="24"/>
          <w:szCs w:val="24"/>
        </w:rPr>
        <w:t xml:space="preserve"> the </w:t>
      </w:r>
      <w:r w:rsidRPr="00851165">
        <w:rPr>
          <w:rFonts w:ascii="Times New Roman" w:eastAsia="Times New Roman" w:hAnsi="Times New Roman" w:cs="Times New Roman"/>
          <w:color w:val="000000"/>
          <w:sz w:val="24"/>
          <w:szCs w:val="24"/>
        </w:rPr>
        <w:t xml:space="preserve"> </w:t>
      </w:r>
      <w:r w:rsidR="00CA2C4B">
        <w:rPr>
          <w:rFonts w:ascii="Times New Roman" w:eastAsia="Times New Roman" w:hAnsi="Times New Roman" w:cs="Times New Roman"/>
          <w:color w:val="000000"/>
          <w:sz w:val="24"/>
          <w:szCs w:val="24"/>
        </w:rPr>
        <w:t xml:space="preserve"> </w:t>
      </w:r>
      <w:r w:rsidRPr="00851165">
        <w:rPr>
          <w:rFonts w:ascii="Times New Roman" w:eastAsia="Times New Roman" w:hAnsi="Times New Roman" w:cs="Times New Roman"/>
          <w:color w:val="000000"/>
          <w:sz w:val="24"/>
          <w:szCs w:val="24"/>
        </w:rPr>
        <w:t xml:space="preserve">Brighton Collaboration’s Benefit-Risk Assessment of VAccines by TechnolOgy (BRAVATO) Benefit-Risk Assessment Module working group </w:t>
      </w:r>
      <w:r w:rsidR="00CA2C4B">
        <w:rPr>
          <w:rFonts w:ascii="Times New Roman" w:eastAsia="Times New Roman" w:hAnsi="Times New Roman" w:cs="Times New Roman"/>
          <w:color w:val="000000"/>
          <w:sz w:val="24"/>
          <w:szCs w:val="24"/>
        </w:rPr>
        <w:t xml:space="preserve">was established </w:t>
      </w:r>
      <w:r w:rsidRPr="00851165">
        <w:rPr>
          <w:rFonts w:ascii="Times New Roman" w:eastAsia="Times New Roman" w:hAnsi="Times New Roman" w:cs="Times New Roman"/>
          <w:color w:val="000000"/>
          <w:sz w:val="24"/>
          <w:szCs w:val="24"/>
        </w:rPr>
        <w:t xml:space="preserve">to develop a standard module to support the planning, conduct and evaluation of </w:t>
      </w:r>
      <w:r w:rsidR="007D386B">
        <w:rPr>
          <w:rFonts w:ascii="Times New Roman" w:eastAsia="Times New Roman" w:hAnsi="Times New Roman" w:cs="Times New Roman"/>
          <w:color w:val="000000"/>
          <w:sz w:val="24"/>
          <w:szCs w:val="24"/>
        </w:rPr>
        <w:t xml:space="preserve">a defensible </w:t>
      </w:r>
      <w:r w:rsidRPr="00851165">
        <w:rPr>
          <w:rFonts w:ascii="Times New Roman" w:eastAsia="Times New Roman" w:hAnsi="Times New Roman" w:cs="Times New Roman"/>
          <w:color w:val="000000"/>
          <w:sz w:val="24"/>
          <w:szCs w:val="24"/>
        </w:rPr>
        <w:t>structured B-R assessments for vaccines</w:t>
      </w:r>
      <w:r w:rsidR="00CA2C4B">
        <w:rPr>
          <w:rFonts w:ascii="Times New Roman" w:eastAsia="Times New Roman" w:hAnsi="Times New Roman" w:cs="Times New Roman"/>
          <w:color w:val="000000"/>
          <w:sz w:val="24"/>
          <w:szCs w:val="24"/>
        </w:rPr>
        <w:t xml:space="preserve"> from different platforms</w:t>
      </w:r>
      <w:r w:rsidRPr="00851165">
        <w:rPr>
          <w:rFonts w:ascii="Times New Roman" w:eastAsia="Times New Roman" w:hAnsi="Times New Roman" w:cs="Times New Roman"/>
          <w:color w:val="000000"/>
          <w:sz w:val="24"/>
          <w:szCs w:val="24"/>
        </w:rPr>
        <w:t xml:space="preserve"> when data from clinical trials or post-marketing studies, including real-world evidence, become available.  It</w:t>
      </w:r>
      <w:r w:rsidR="00D90AA1">
        <w:rPr>
          <w:rFonts w:ascii="Times New Roman" w:eastAsia="Times New Roman" w:hAnsi="Times New Roman" w:cs="Times New Roman"/>
          <w:color w:val="000000"/>
          <w:sz w:val="24"/>
          <w:szCs w:val="24"/>
        </w:rPr>
        <w:t xml:space="preserve"> </w:t>
      </w:r>
      <w:r w:rsidRPr="00851165">
        <w:rPr>
          <w:rFonts w:ascii="Times New Roman" w:eastAsia="Times New Roman" w:hAnsi="Times New Roman" w:cs="Times New Roman"/>
          <w:color w:val="000000"/>
          <w:sz w:val="24"/>
          <w:szCs w:val="24"/>
        </w:rPr>
        <w:t>enables sharing</w:t>
      </w:r>
      <w:r w:rsidR="00D90AA1">
        <w:rPr>
          <w:rFonts w:ascii="Times New Roman" w:eastAsia="Times New Roman" w:hAnsi="Times New Roman" w:cs="Times New Roman"/>
          <w:color w:val="000000"/>
          <w:sz w:val="24"/>
          <w:szCs w:val="24"/>
        </w:rPr>
        <w:t xml:space="preserve"> of </w:t>
      </w:r>
      <w:r w:rsidRPr="00851165">
        <w:rPr>
          <w:rFonts w:ascii="Times New Roman" w:eastAsia="Times New Roman" w:hAnsi="Times New Roman" w:cs="Times New Roman"/>
          <w:color w:val="000000"/>
          <w:sz w:val="24"/>
          <w:szCs w:val="24"/>
        </w:rPr>
        <w:t>relevant information via value trees, effects tables and graphical depictions of B-R trade-offs.  It can be used by vaccine developers, funders, regulators and policy makers in high</w:t>
      </w:r>
      <w:r w:rsidR="002831F8">
        <w:rPr>
          <w:rFonts w:ascii="Times New Roman" w:eastAsia="Times New Roman" w:hAnsi="Times New Roman" w:cs="Times New Roman"/>
          <w:color w:val="000000"/>
          <w:sz w:val="24"/>
          <w:szCs w:val="24"/>
        </w:rPr>
        <w:t>-</w:t>
      </w:r>
      <w:r w:rsidRPr="00851165">
        <w:rPr>
          <w:rFonts w:ascii="Times New Roman" w:eastAsia="Times New Roman" w:hAnsi="Times New Roman" w:cs="Times New Roman"/>
          <w:color w:val="000000"/>
          <w:sz w:val="24"/>
          <w:szCs w:val="24"/>
        </w:rPr>
        <w:t>, middle</w:t>
      </w:r>
      <w:r w:rsidR="002831F8">
        <w:rPr>
          <w:rFonts w:ascii="Times New Roman" w:eastAsia="Times New Roman" w:hAnsi="Times New Roman" w:cs="Times New Roman"/>
          <w:color w:val="000000"/>
          <w:sz w:val="24"/>
          <w:szCs w:val="24"/>
        </w:rPr>
        <w:t>-</w:t>
      </w:r>
      <w:r w:rsidRPr="00851165">
        <w:rPr>
          <w:rFonts w:ascii="Times New Roman" w:eastAsia="Times New Roman" w:hAnsi="Times New Roman" w:cs="Times New Roman"/>
          <w:color w:val="000000"/>
          <w:sz w:val="24"/>
          <w:szCs w:val="24"/>
        </w:rPr>
        <w:t xml:space="preserve"> or low-income countries to help inform decision-making and facilitate transparent communication concerning development, licensure, deployment and other lifecycle decisions. </w:t>
      </w:r>
      <w:r w:rsidR="00D90AA1" w:rsidRPr="00851165">
        <w:rPr>
          <w:rFonts w:ascii="Times New Roman" w:eastAsia="Times New Roman" w:hAnsi="Times New Roman" w:cs="Times New Roman"/>
          <w:color w:val="000000"/>
          <w:sz w:val="24"/>
          <w:szCs w:val="24"/>
        </w:rPr>
        <w:t>The</w:t>
      </w:r>
      <w:r w:rsidRPr="00851165">
        <w:rPr>
          <w:rFonts w:ascii="Times New Roman" w:eastAsia="Times New Roman" w:hAnsi="Times New Roman" w:cs="Times New Roman"/>
          <w:color w:val="000000"/>
          <w:sz w:val="24"/>
          <w:szCs w:val="24"/>
        </w:rPr>
        <w:t xml:space="preserve"> module is available electronically </w:t>
      </w:r>
      <w:r w:rsidR="00C80A7D">
        <w:rPr>
          <w:rFonts w:ascii="Times New Roman" w:eastAsia="Times New Roman" w:hAnsi="Times New Roman" w:cs="Times New Roman"/>
          <w:color w:val="000000"/>
          <w:sz w:val="24"/>
          <w:szCs w:val="24"/>
        </w:rPr>
        <w:t>at xxx</w:t>
      </w:r>
      <w:commentRangeStart w:id="0"/>
      <w:commentRangeEnd w:id="0"/>
      <w:r w:rsidR="00CA2C4B">
        <w:rPr>
          <w:rStyle w:val="CommentReference"/>
        </w:rPr>
        <w:commentReference w:id="0"/>
      </w:r>
      <w:r w:rsidR="00CA2C4B">
        <w:rPr>
          <w:rFonts w:ascii="Times New Roman" w:eastAsia="Times New Roman" w:hAnsi="Times New Roman" w:cs="Times New Roman"/>
          <w:color w:val="000000"/>
          <w:sz w:val="24"/>
          <w:szCs w:val="24"/>
        </w:rPr>
        <w:t xml:space="preserve"> </w:t>
      </w:r>
      <w:r w:rsidRPr="00851165">
        <w:rPr>
          <w:rFonts w:ascii="Times New Roman" w:eastAsia="Times New Roman" w:hAnsi="Times New Roman" w:cs="Times New Roman"/>
          <w:color w:val="000000"/>
          <w:sz w:val="24"/>
          <w:szCs w:val="24"/>
        </w:rPr>
        <w:t xml:space="preserve">and </w:t>
      </w:r>
      <w:r w:rsidR="00D90AA1">
        <w:rPr>
          <w:rFonts w:ascii="Times New Roman" w:eastAsia="Times New Roman" w:hAnsi="Times New Roman" w:cs="Times New Roman"/>
          <w:color w:val="000000"/>
          <w:sz w:val="24"/>
          <w:szCs w:val="24"/>
        </w:rPr>
        <w:t>a</w:t>
      </w:r>
      <w:r w:rsidRPr="00851165">
        <w:rPr>
          <w:rFonts w:ascii="Times New Roman" w:eastAsia="Times New Roman" w:hAnsi="Times New Roman" w:cs="Times New Roman"/>
          <w:color w:val="000000"/>
          <w:sz w:val="24"/>
          <w:szCs w:val="24"/>
        </w:rPr>
        <w:t xml:space="preserve"> case study on COVID-19 vaccines u</w:t>
      </w:r>
      <w:r w:rsidR="002831F8">
        <w:rPr>
          <w:rFonts w:ascii="Times New Roman" w:eastAsia="Times New Roman" w:hAnsi="Times New Roman" w:cs="Times New Roman"/>
          <w:color w:val="000000"/>
          <w:sz w:val="24"/>
          <w:szCs w:val="24"/>
        </w:rPr>
        <w:t>s</w:t>
      </w:r>
      <w:r w:rsidRPr="00851165">
        <w:rPr>
          <w:rFonts w:ascii="Times New Roman" w:eastAsia="Times New Roman" w:hAnsi="Times New Roman" w:cs="Times New Roman"/>
          <w:color w:val="000000"/>
          <w:sz w:val="24"/>
          <w:szCs w:val="24"/>
        </w:rPr>
        <w:t xml:space="preserve">ing the module is </w:t>
      </w:r>
      <w:r w:rsidR="00D90AA1" w:rsidRPr="00851165">
        <w:rPr>
          <w:rFonts w:ascii="Times New Roman" w:eastAsia="Times New Roman" w:hAnsi="Times New Roman" w:cs="Times New Roman"/>
          <w:color w:val="000000"/>
          <w:sz w:val="24"/>
          <w:szCs w:val="24"/>
        </w:rPr>
        <w:t>available</w:t>
      </w:r>
      <w:r w:rsidRPr="00851165">
        <w:rPr>
          <w:rFonts w:ascii="Times New Roman" w:eastAsia="Times New Roman" w:hAnsi="Times New Roman" w:cs="Times New Roman"/>
          <w:color w:val="000000"/>
          <w:sz w:val="24"/>
          <w:szCs w:val="24"/>
        </w:rPr>
        <w:t xml:space="preserve"> at </w:t>
      </w:r>
      <w:commentRangeStart w:id="1"/>
      <w:r w:rsidRPr="00D80FE4">
        <w:rPr>
          <w:rFonts w:ascii="Times New Roman" w:eastAsia="Times New Roman" w:hAnsi="Times New Roman" w:cs="Times New Roman"/>
          <w:color w:val="000000"/>
          <w:sz w:val="24"/>
          <w:szCs w:val="24"/>
          <w:highlight w:val="yellow"/>
        </w:rPr>
        <w:t>xxx</w:t>
      </w:r>
      <w:commentRangeEnd w:id="1"/>
      <w:r w:rsidR="00CA2C4B">
        <w:rPr>
          <w:rStyle w:val="CommentReference"/>
        </w:rPr>
        <w:commentReference w:id="1"/>
      </w:r>
      <w:r w:rsidRPr="00D80FE4">
        <w:rPr>
          <w:rFonts w:ascii="Times New Roman" w:eastAsia="Times New Roman" w:hAnsi="Times New Roman" w:cs="Times New Roman"/>
          <w:color w:val="000000"/>
          <w:sz w:val="24"/>
          <w:szCs w:val="24"/>
          <w:highlight w:val="yellow"/>
        </w:rPr>
        <w:t>.</w:t>
      </w:r>
      <w:r w:rsidRPr="00851165">
        <w:rPr>
          <w:rFonts w:ascii="Times New Roman" w:eastAsia="Times New Roman" w:hAnsi="Times New Roman" w:cs="Times New Roman"/>
          <w:color w:val="000000"/>
          <w:sz w:val="24"/>
          <w:szCs w:val="24"/>
        </w:rPr>
        <w:t xml:space="preserve"> </w:t>
      </w:r>
      <w:r w:rsidR="00CA2C4B">
        <w:rPr>
          <w:rFonts w:ascii="Times New Roman" w:eastAsia="Times New Roman" w:hAnsi="Times New Roman" w:cs="Times New Roman"/>
          <w:color w:val="000000"/>
          <w:sz w:val="24"/>
          <w:szCs w:val="24"/>
        </w:rPr>
        <w:t>V</w:t>
      </w:r>
      <w:r w:rsidRPr="00851165">
        <w:rPr>
          <w:rFonts w:ascii="Times New Roman" w:eastAsia="Times New Roman" w:hAnsi="Times New Roman" w:cs="Times New Roman"/>
          <w:color w:val="000000"/>
          <w:sz w:val="24"/>
          <w:szCs w:val="24"/>
        </w:rPr>
        <w:t xml:space="preserve">accine developers, funders, regulators and public health personnel </w:t>
      </w:r>
      <w:r w:rsidR="00C80A7D">
        <w:rPr>
          <w:rFonts w:ascii="Times New Roman" w:eastAsia="Times New Roman" w:hAnsi="Times New Roman" w:cs="Times New Roman"/>
          <w:color w:val="000000"/>
          <w:sz w:val="24"/>
          <w:szCs w:val="24"/>
        </w:rPr>
        <w:t xml:space="preserve">can </w:t>
      </w:r>
      <w:r w:rsidR="00C80A7D" w:rsidRPr="00851165">
        <w:rPr>
          <w:rFonts w:ascii="Times New Roman" w:eastAsia="Times New Roman" w:hAnsi="Times New Roman" w:cs="Times New Roman"/>
          <w:color w:val="000000"/>
          <w:sz w:val="24"/>
          <w:szCs w:val="24"/>
        </w:rPr>
        <w:t>u</w:t>
      </w:r>
      <w:r w:rsidR="002831F8">
        <w:rPr>
          <w:rFonts w:ascii="Times New Roman" w:eastAsia="Times New Roman" w:hAnsi="Times New Roman" w:cs="Times New Roman"/>
          <w:color w:val="000000"/>
          <w:sz w:val="24"/>
          <w:szCs w:val="24"/>
        </w:rPr>
        <w:t>s</w:t>
      </w:r>
      <w:r w:rsidR="00C80A7D" w:rsidRPr="00851165">
        <w:rPr>
          <w:rFonts w:ascii="Times New Roman" w:eastAsia="Times New Roman" w:hAnsi="Times New Roman" w:cs="Times New Roman"/>
          <w:color w:val="000000"/>
          <w:sz w:val="24"/>
          <w:szCs w:val="24"/>
        </w:rPr>
        <w:t>e</w:t>
      </w:r>
      <w:r w:rsidR="00CA2C4B">
        <w:rPr>
          <w:rFonts w:ascii="Times New Roman" w:eastAsia="Times New Roman" w:hAnsi="Times New Roman" w:cs="Times New Roman"/>
          <w:color w:val="000000"/>
          <w:sz w:val="24"/>
          <w:szCs w:val="24"/>
        </w:rPr>
        <w:t xml:space="preserve"> </w:t>
      </w:r>
      <w:r w:rsidRPr="00851165">
        <w:rPr>
          <w:rFonts w:ascii="Times New Roman" w:eastAsia="Times New Roman" w:hAnsi="Times New Roman" w:cs="Times New Roman"/>
          <w:color w:val="000000"/>
          <w:sz w:val="24"/>
          <w:szCs w:val="24"/>
        </w:rPr>
        <w:t xml:space="preserve">the module during vaccine development, submission </w:t>
      </w:r>
      <w:r w:rsidR="00CA2C4B">
        <w:rPr>
          <w:rFonts w:ascii="Times New Roman" w:eastAsia="Times New Roman" w:hAnsi="Times New Roman" w:cs="Times New Roman"/>
          <w:color w:val="000000"/>
          <w:sz w:val="24"/>
          <w:szCs w:val="24"/>
        </w:rPr>
        <w:t>and/</w:t>
      </w:r>
      <w:r w:rsidRPr="00851165">
        <w:rPr>
          <w:rFonts w:ascii="Times New Roman" w:eastAsia="Times New Roman" w:hAnsi="Times New Roman" w:cs="Times New Roman"/>
          <w:color w:val="000000"/>
          <w:sz w:val="24"/>
          <w:szCs w:val="24"/>
        </w:rPr>
        <w:t xml:space="preserve">or post-approval. </w:t>
      </w:r>
    </w:p>
    <w:p w14:paraId="3F621B87" w14:textId="31C6F2F2" w:rsidR="00C80A7D" w:rsidRDefault="00C80A7D" w:rsidP="009D727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p>
    <w:p w14:paraId="3862ECC8" w14:textId="46227758" w:rsidR="00C80A7D" w:rsidRDefault="00C80A7D" w:rsidP="009D727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p>
    <w:p w14:paraId="334937C5" w14:textId="1AED6160" w:rsidR="00C80A7D" w:rsidRDefault="00C80A7D" w:rsidP="009D727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p>
    <w:p w14:paraId="1FBD6D6E" w14:textId="411BC85D" w:rsidR="00C80A7D" w:rsidRDefault="00C80A7D" w:rsidP="009D727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p>
    <w:p w14:paraId="61E2627D" w14:textId="44E932EC" w:rsidR="00C80A7D" w:rsidRDefault="00C80A7D" w:rsidP="009D727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p>
    <w:p w14:paraId="41535596" w14:textId="35072AC4" w:rsidR="00C80A7D" w:rsidRDefault="00C80A7D" w:rsidP="009D727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p>
    <w:p w14:paraId="6F0081C8" w14:textId="017FDB08" w:rsidR="00C80A7D" w:rsidRDefault="00C80A7D" w:rsidP="009D727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p>
    <w:p w14:paraId="210281AC" w14:textId="77777777" w:rsidR="00C80A7D" w:rsidRDefault="00C80A7D" w:rsidP="009D7273">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p>
    <w:p w14:paraId="20877D58" w14:textId="6674FCE1" w:rsidR="00943A61" w:rsidRPr="00783F18" w:rsidRDefault="00017C61" w:rsidP="009D7273">
      <w:pPr>
        <w:pStyle w:val="Heading2"/>
        <w:spacing w:before="280" w:after="280" w:line="480" w:lineRule="auto"/>
        <w:jc w:val="both"/>
        <w:rPr>
          <w:sz w:val="24"/>
          <w:szCs w:val="24"/>
        </w:rPr>
      </w:pPr>
      <w:r w:rsidRPr="00783F18">
        <w:rPr>
          <w:sz w:val="24"/>
          <w:szCs w:val="24"/>
        </w:rPr>
        <w:lastRenderedPageBreak/>
        <w:t xml:space="preserve">1. Preamble </w:t>
      </w:r>
    </w:p>
    <w:p w14:paraId="5B6CA669" w14:textId="16D448EC" w:rsidR="00E20EA3" w:rsidRPr="00783F18" w:rsidRDefault="00017C61" w:rsidP="009D7273">
      <w:pPr>
        <w:spacing w:after="0" w:line="480" w:lineRule="auto"/>
        <w:ind w:firstLine="720"/>
        <w:jc w:val="both"/>
        <w:rPr>
          <w:rFonts w:ascii="Times New Roman" w:eastAsia="Times New Roman" w:hAnsi="Times New Roman" w:cs="Times New Roman"/>
          <w:color w:val="000000"/>
          <w:sz w:val="24"/>
          <w:szCs w:val="24"/>
        </w:rPr>
      </w:pPr>
      <w:r w:rsidRPr="00783F18">
        <w:rPr>
          <w:rFonts w:ascii="Times New Roman" w:eastAsia="Times New Roman" w:hAnsi="Times New Roman" w:cs="Times New Roman"/>
          <w:color w:val="000000"/>
          <w:sz w:val="24"/>
          <w:szCs w:val="24"/>
        </w:rPr>
        <w:t>The Brighton Collaboration (</w:t>
      </w:r>
      <w:hyperlink r:id="rId13" w:history="1">
        <w:r w:rsidR="00C1566D" w:rsidRPr="003819AB">
          <w:rPr>
            <w:rStyle w:val="Hyperlink"/>
            <w:rFonts w:ascii="Times New Roman" w:eastAsia="Times New Roman" w:hAnsi="Times New Roman" w:cs="Times New Roman"/>
            <w:sz w:val="24"/>
            <w:szCs w:val="24"/>
          </w:rPr>
          <w:t>www.brightoncollaboration.org</w:t>
        </w:r>
      </w:hyperlink>
      <w:r w:rsidR="009D7273">
        <w:rPr>
          <w:rFonts w:ascii="Times New Roman" w:eastAsia="Times New Roman" w:hAnsi="Times New Roman" w:cs="Times New Roman"/>
          <w:color w:val="000000"/>
          <w:sz w:val="24"/>
          <w:szCs w:val="24"/>
        </w:rPr>
        <w:t>)</w:t>
      </w:r>
      <w:r w:rsidRPr="00783F18">
        <w:rPr>
          <w:rFonts w:ascii="Times New Roman" w:eastAsia="Times New Roman" w:hAnsi="Times New Roman" w:cs="Times New Roman"/>
          <w:color w:val="000000"/>
          <w:sz w:val="24"/>
          <w:szCs w:val="24"/>
        </w:rPr>
        <w:t xml:space="preserve"> was launched in 2000 to improve the science of vaccine safety</w:t>
      </w:r>
      <w:r w:rsidR="00BE5BE4" w:rsidRPr="00BE5BE4">
        <w:rPr>
          <w:rFonts w:ascii="Times New Roman" w:eastAsia="Times New Roman" w:hAnsi="Times New Roman" w:cs="Times New Roman"/>
          <w:color w:val="000000"/>
          <w:sz w:val="24"/>
          <w:szCs w:val="24"/>
          <w:vertAlign w:val="superscript"/>
        </w:rPr>
        <w:t>1</w:t>
      </w:r>
      <w:r w:rsidR="00025D82" w:rsidRPr="00783F18">
        <w:rPr>
          <w:rFonts w:ascii="Times New Roman" w:eastAsia="Times New Roman" w:hAnsi="Times New Roman" w:cs="Times New Roman"/>
          <w:color w:val="000000"/>
          <w:sz w:val="24"/>
          <w:szCs w:val="24"/>
        </w:rPr>
        <w:t>.</w:t>
      </w:r>
      <w:r w:rsidR="00BE5BE4" w:rsidRPr="00783F18">
        <w:rPr>
          <w:rFonts w:ascii="Times New Roman" w:eastAsia="Times New Roman" w:hAnsi="Times New Roman" w:cs="Times New Roman"/>
          <w:noProof/>
          <w:color w:val="000000"/>
          <w:sz w:val="24"/>
          <w:szCs w:val="24"/>
          <w:lang w:val="en-US"/>
        </w:rPr>
        <w:t xml:space="preserve"> </w:t>
      </w:r>
      <w:r w:rsidRPr="00783F18">
        <w:rPr>
          <w:rFonts w:ascii="Times New Roman" w:eastAsia="Times New Roman" w:hAnsi="Times New Roman" w:cs="Times New Roman"/>
          <w:color w:val="000000"/>
          <w:sz w:val="24"/>
          <w:szCs w:val="24"/>
        </w:rPr>
        <w:t xml:space="preserve">The Brighton Collaboration formed the Viral Vector Vaccines Safety Working Group (V3SWG) in October 2008 to improve the ability of key stakeholders to anticipate potential safety issues and interpret or assess safety data, thereby facilitating greater public acceptance of newly licensed viral vector vaccines. </w:t>
      </w:r>
      <w:r w:rsidRPr="00783F18">
        <w:rPr>
          <w:rFonts w:ascii="Times New Roman" w:eastAsia="Times New Roman" w:hAnsi="Times New Roman" w:cs="Times New Roman"/>
          <w:color w:val="000000"/>
          <w:sz w:val="24"/>
          <w:szCs w:val="24"/>
          <w:highlight w:val="white"/>
        </w:rPr>
        <w:t xml:space="preserve">The mandate of the V3WSG was expanded to all vaccines, and accordingly the Working Group (WG) was renamed the Benefit-Risk Assessment of VAccines by TechnolOgy (BRAVATO) WG in February 2020. </w:t>
      </w:r>
      <w:r w:rsidRPr="00783F18">
        <w:rPr>
          <w:rFonts w:ascii="Times New Roman" w:eastAsia="Times New Roman" w:hAnsi="Times New Roman" w:cs="Times New Roman"/>
          <w:sz w:val="24"/>
          <w:szCs w:val="24"/>
          <w:highlight w:val="white"/>
        </w:rPr>
        <w:t>To support this mandate, t</w:t>
      </w:r>
      <w:r w:rsidRPr="00783F18">
        <w:rPr>
          <w:rFonts w:ascii="Times New Roman" w:eastAsia="Times New Roman" w:hAnsi="Times New Roman" w:cs="Times New Roman"/>
          <w:color w:val="000000"/>
          <w:sz w:val="24"/>
          <w:szCs w:val="24"/>
          <w:highlight w:val="white"/>
        </w:rPr>
        <w:t>he BRAVATO WG developed standardized</w:t>
      </w:r>
      <w:r w:rsidRPr="00783F18">
        <w:rPr>
          <w:rFonts w:ascii="Times New Roman" w:eastAsia="Times New Roman" w:hAnsi="Times New Roman" w:cs="Times New Roman"/>
          <w:color w:val="000000"/>
          <w:sz w:val="24"/>
          <w:szCs w:val="24"/>
        </w:rPr>
        <w:t xml:space="preserve"> templates that describe key considerations for Benefit-Risk (B-R) assessment </w:t>
      </w:r>
      <w:r w:rsidRPr="00783F18">
        <w:rPr>
          <w:rFonts w:ascii="Times New Roman" w:eastAsia="Times New Roman" w:hAnsi="Times New Roman" w:cs="Times New Roman"/>
          <w:color w:val="000000"/>
          <w:sz w:val="24"/>
          <w:szCs w:val="24"/>
          <w:highlight w:val="white"/>
        </w:rPr>
        <w:t>of other vaccine platforms (</w:t>
      </w:r>
      <w:r w:rsidR="005D17E3" w:rsidRPr="00783F18">
        <w:rPr>
          <w:rFonts w:ascii="Times New Roman" w:eastAsia="Times New Roman" w:hAnsi="Times New Roman" w:cs="Times New Roman"/>
          <w:color w:val="000000"/>
          <w:sz w:val="24"/>
          <w:szCs w:val="24"/>
          <w:highlight w:val="white"/>
        </w:rPr>
        <w:t>e.g.,</w:t>
      </w:r>
      <w:r w:rsidRPr="00783F18">
        <w:rPr>
          <w:rFonts w:ascii="Times New Roman" w:eastAsia="Times New Roman" w:hAnsi="Times New Roman" w:cs="Times New Roman"/>
          <w:color w:val="000000"/>
          <w:sz w:val="24"/>
          <w:szCs w:val="24"/>
          <w:highlight w:val="white"/>
        </w:rPr>
        <w:t xml:space="preserve"> nucleic acid, protein, inactivated, live attenuated and a </w:t>
      </w:r>
      <w:r w:rsidRPr="00783F18">
        <w:rPr>
          <w:rFonts w:ascii="Times New Roman" w:eastAsia="Times New Roman" w:hAnsi="Times New Roman" w:cs="Times New Roman"/>
          <w:sz w:val="24"/>
          <w:szCs w:val="24"/>
          <w:highlight w:val="white"/>
        </w:rPr>
        <w:t>revised viral vector vaccine template)</w:t>
      </w:r>
      <w:r w:rsidR="00BE5BE4">
        <w:rPr>
          <w:rFonts w:ascii="Times New Roman" w:eastAsia="Times New Roman" w:hAnsi="Times New Roman" w:cs="Times New Roman"/>
          <w:sz w:val="24"/>
          <w:szCs w:val="24"/>
          <w:highlight w:val="white"/>
        </w:rPr>
        <w:t xml:space="preserve"> </w:t>
      </w:r>
      <w:r w:rsidR="00BE5BE4" w:rsidRPr="00BE5BE4">
        <w:rPr>
          <w:rFonts w:ascii="Times New Roman" w:eastAsia="Times New Roman" w:hAnsi="Times New Roman" w:cs="Times New Roman"/>
          <w:sz w:val="24"/>
          <w:szCs w:val="24"/>
          <w:highlight w:val="white"/>
          <w:vertAlign w:val="superscript"/>
        </w:rPr>
        <w:t>2-6</w:t>
      </w:r>
      <w:r w:rsidRPr="00783F18">
        <w:rPr>
          <w:rFonts w:ascii="Times New Roman" w:eastAsia="Times New Roman" w:hAnsi="Times New Roman" w:cs="Times New Roman"/>
          <w:sz w:val="24"/>
          <w:szCs w:val="24"/>
          <w:highlight w:val="white"/>
        </w:rPr>
        <w:t>.</w:t>
      </w:r>
      <w:r w:rsidR="00BE5BE4" w:rsidRPr="00783F18">
        <w:rPr>
          <w:rFonts w:ascii="Times New Roman" w:eastAsia="Times New Roman" w:hAnsi="Times New Roman" w:cs="Times New Roman"/>
          <w:noProof/>
          <w:sz w:val="24"/>
          <w:szCs w:val="24"/>
          <w:highlight w:val="white"/>
          <w:lang w:val="en-US"/>
        </w:rPr>
        <w:t xml:space="preserve"> </w:t>
      </w:r>
      <w:r w:rsidRPr="00783F18">
        <w:rPr>
          <w:rFonts w:ascii="Times New Roman" w:eastAsia="Times New Roman" w:hAnsi="Times New Roman" w:cs="Times New Roman"/>
          <w:color w:val="000000"/>
          <w:sz w:val="24"/>
          <w:szCs w:val="24"/>
        </w:rPr>
        <w:t xml:space="preserve">In August 2021, BRAVATO established the Benefit-Risk Assessment Module WG to develop a standard module to support the planning, conduct and evaluation of structured B-R assessments for multiple vaccine platforms. </w:t>
      </w:r>
      <w:r w:rsidR="007B3E9C">
        <w:rPr>
          <w:rFonts w:ascii="Times New Roman" w:eastAsia="Times New Roman" w:hAnsi="Times New Roman" w:cs="Times New Roman"/>
          <w:color w:val="000000"/>
          <w:sz w:val="24"/>
          <w:szCs w:val="24"/>
        </w:rPr>
        <w:t xml:space="preserve">The purpose of this paper is to introduce the module, describe it in detail, and provide </w:t>
      </w:r>
      <w:r w:rsidR="007E1105">
        <w:rPr>
          <w:rFonts w:ascii="Times New Roman" w:eastAsia="Times New Roman" w:hAnsi="Times New Roman" w:cs="Times New Roman"/>
          <w:color w:val="000000"/>
          <w:sz w:val="24"/>
          <w:szCs w:val="24"/>
        </w:rPr>
        <w:t xml:space="preserve">instructions </w:t>
      </w:r>
      <w:r w:rsidR="007B3E9C">
        <w:rPr>
          <w:rFonts w:ascii="Times New Roman" w:eastAsia="Times New Roman" w:hAnsi="Times New Roman" w:cs="Times New Roman"/>
          <w:color w:val="000000"/>
          <w:sz w:val="24"/>
          <w:szCs w:val="24"/>
        </w:rPr>
        <w:t>for its use</w:t>
      </w:r>
      <w:r w:rsidR="00E20EA3" w:rsidRPr="00783F18">
        <w:rPr>
          <w:rFonts w:ascii="Times New Roman" w:eastAsia="Times New Roman" w:hAnsi="Times New Roman" w:cs="Times New Roman"/>
          <w:sz w:val="24"/>
          <w:szCs w:val="24"/>
        </w:rPr>
        <w:t xml:space="preserve">.  An on-line supplement demonstrates how the B-R assessment module </w:t>
      </w:r>
      <w:r w:rsidR="00CA2C4B">
        <w:rPr>
          <w:rFonts w:ascii="Times New Roman" w:eastAsia="Times New Roman" w:hAnsi="Times New Roman" w:cs="Times New Roman"/>
          <w:sz w:val="24"/>
          <w:szCs w:val="24"/>
        </w:rPr>
        <w:t xml:space="preserve">can be </w:t>
      </w:r>
      <w:r w:rsidR="005D17E3">
        <w:rPr>
          <w:rFonts w:ascii="Times New Roman" w:eastAsia="Times New Roman" w:hAnsi="Times New Roman" w:cs="Times New Roman"/>
          <w:sz w:val="24"/>
          <w:szCs w:val="24"/>
        </w:rPr>
        <w:t xml:space="preserve">utilized </w:t>
      </w:r>
      <w:r w:rsidR="005D17E3" w:rsidRPr="00783F18">
        <w:rPr>
          <w:rFonts w:ascii="Times New Roman" w:eastAsia="Times New Roman" w:hAnsi="Times New Roman" w:cs="Times New Roman"/>
          <w:sz w:val="24"/>
          <w:szCs w:val="24"/>
        </w:rPr>
        <w:t>in</w:t>
      </w:r>
      <w:r w:rsidR="00E20EA3" w:rsidRPr="00783F18">
        <w:rPr>
          <w:rFonts w:ascii="Times New Roman" w:eastAsia="Times New Roman" w:hAnsi="Times New Roman" w:cs="Times New Roman"/>
          <w:sz w:val="24"/>
          <w:szCs w:val="24"/>
        </w:rPr>
        <w:t xml:space="preserve"> a real-world B-R calculation, using an example of a generic COVID-19 mRNA vaccine versus no vaccination</w:t>
      </w:r>
      <w:r w:rsidR="00A12A38">
        <w:rPr>
          <w:rFonts w:ascii="Times New Roman" w:eastAsia="Times New Roman" w:hAnsi="Times New Roman" w:cs="Times New Roman"/>
          <w:sz w:val="24"/>
          <w:szCs w:val="24"/>
        </w:rPr>
        <w:t>,</w:t>
      </w:r>
      <w:r w:rsidR="00E20EA3" w:rsidRPr="00783F18">
        <w:rPr>
          <w:rFonts w:ascii="Times New Roman" w:eastAsia="Times New Roman" w:hAnsi="Times New Roman" w:cs="Times New Roman"/>
          <w:sz w:val="24"/>
          <w:szCs w:val="24"/>
        </w:rPr>
        <w:t xml:space="preserve"> largely based on CDC analysis from June 2021. </w:t>
      </w:r>
    </w:p>
    <w:p w14:paraId="20877D5C" w14:textId="77777777" w:rsidR="00943A61" w:rsidRPr="00783F18" w:rsidRDefault="00943A61" w:rsidP="009D7273">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14:paraId="20877D5D" w14:textId="77777777" w:rsidR="00943A61" w:rsidRPr="00783F18" w:rsidRDefault="00017C61" w:rsidP="009D7273">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sidRPr="00783F18">
        <w:rPr>
          <w:rFonts w:ascii="Times New Roman" w:eastAsia="Times New Roman" w:hAnsi="Times New Roman" w:cs="Times New Roman"/>
          <w:b/>
          <w:color w:val="000000"/>
          <w:sz w:val="24"/>
          <w:szCs w:val="24"/>
        </w:rPr>
        <w:t xml:space="preserve">2. Introduction </w:t>
      </w:r>
    </w:p>
    <w:p w14:paraId="20877D5F" w14:textId="5C71C98B" w:rsidR="00943A61" w:rsidRPr="00783F18" w:rsidRDefault="00017C61" w:rsidP="009D727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783F18">
        <w:rPr>
          <w:rFonts w:ascii="Times New Roman" w:eastAsia="Times New Roman" w:hAnsi="Times New Roman" w:cs="Times New Roman"/>
          <w:color w:val="000000"/>
          <w:sz w:val="24"/>
          <w:szCs w:val="24"/>
        </w:rPr>
        <w:t>Evaluation of B-R balance is a key element throughout the life cycle of a vaccine product. B-R assessment consists of evaluating the demonstrated benefits and risks of a vaccine and making a judgment on whether the expected key benefits outweigh the potential key risks associated with the vaccine’s expected use</w:t>
      </w:r>
      <w:r w:rsidR="00025D82" w:rsidRPr="00783F18">
        <w:rPr>
          <w:rFonts w:ascii="Times New Roman" w:eastAsia="Times New Roman" w:hAnsi="Times New Roman" w:cs="Times New Roman"/>
          <w:color w:val="000000"/>
          <w:sz w:val="24"/>
          <w:szCs w:val="24"/>
        </w:rPr>
        <w:t>.</w:t>
      </w:r>
      <w:r w:rsidR="00BE5BE4" w:rsidRPr="00BE5BE4">
        <w:rPr>
          <w:rFonts w:ascii="Times New Roman" w:eastAsia="Times New Roman" w:hAnsi="Times New Roman" w:cs="Times New Roman"/>
          <w:color w:val="000000"/>
          <w:sz w:val="24"/>
          <w:szCs w:val="24"/>
          <w:vertAlign w:val="superscript"/>
        </w:rPr>
        <w:t>7</w:t>
      </w:r>
      <w:r w:rsidR="00BE5BE4" w:rsidRPr="00783F18">
        <w:rPr>
          <w:rFonts w:ascii="Times New Roman" w:eastAsia="Times New Roman" w:hAnsi="Times New Roman" w:cs="Times New Roman"/>
          <w:noProof/>
          <w:color w:val="000000"/>
          <w:sz w:val="24"/>
          <w:szCs w:val="24"/>
          <w:lang w:val="en-US"/>
        </w:rPr>
        <w:t xml:space="preserve"> </w:t>
      </w:r>
      <w:r w:rsidRPr="00783F18">
        <w:rPr>
          <w:rFonts w:ascii="Times New Roman" w:eastAsia="Times New Roman" w:hAnsi="Times New Roman" w:cs="Times New Roman"/>
          <w:color w:val="000000"/>
          <w:sz w:val="24"/>
          <w:szCs w:val="24"/>
        </w:rPr>
        <w:t xml:space="preserve">B-R assessment supports decision-making during development milestones, regulatory approval, policy recommendations, and following </w:t>
      </w:r>
      <w:r w:rsidRPr="00783F18">
        <w:rPr>
          <w:rFonts w:ascii="Times New Roman" w:eastAsia="Times New Roman" w:hAnsi="Times New Roman" w:cs="Times New Roman"/>
          <w:color w:val="000000"/>
          <w:sz w:val="24"/>
          <w:szCs w:val="24"/>
        </w:rPr>
        <w:lastRenderedPageBreak/>
        <w:t xml:space="preserve">identification of emerging safety (or effectiveness) signals, generally during post-authorization surveillance. Structured B-R assessment aims to provide an objective and defensible </w:t>
      </w:r>
      <w:r w:rsidRPr="00783F18">
        <w:rPr>
          <w:rFonts w:ascii="Times New Roman" w:eastAsia="Times New Roman" w:hAnsi="Times New Roman" w:cs="Times New Roman"/>
          <w:sz w:val="24"/>
          <w:szCs w:val="24"/>
        </w:rPr>
        <w:t xml:space="preserve">characterization </w:t>
      </w:r>
      <w:r w:rsidRPr="00783F18">
        <w:rPr>
          <w:rFonts w:ascii="Times New Roman" w:eastAsia="Times New Roman" w:hAnsi="Times New Roman" w:cs="Times New Roman"/>
          <w:color w:val="000000"/>
          <w:sz w:val="24"/>
          <w:szCs w:val="24"/>
        </w:rPr>
        <w:t xml:space="preserve">of the B-R profile of vaccines. It provides transparent information to ensure informed public-health decision-making and helps maintain or regain trust in vaccination. </w:t>
      </w:r>
    </w:p>
    <w:p w14:paraId="20877D61" w14:textId="4B151596" w:rsidR="00943A61" w:rsidRPr="00783F18" w:rsidRDefault="00017C61" w:rsidP="009D727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sidRPr="00783F18">
        <w:rPr>
          <w:rFonts w:ascii="Times New Roman" w:eastAsia="Times New Roman" w:hAnsi="Times New Roman" w:cs="Times New Roman"/>
          <w:color w:val="000000"/>
          <w:sz w:val="24"/>
          <w:szCs w:val="24"/>
        </w:rPr>
        <w:t>The field of B-R assessment has advanced considerably over the past two decades with the application of structured B-R frameworks; growing use of patient preference studies to support B-R assessments</w:t>
      </w:r>
      <w:r w:rsidRPr="00783F18">
        <w:rPr>
          <w:rFonts w:ascii="Times New Roman" w:eastAsia="Times New Roman" w:hAnsi="Times New Roman" w:cs="Times New Roman"/>
          <w:sz w:val="24"/>
          <w:szCs w:val="24"/>
        </w:rPr>
        <w:t xml:space="preserve"> </w:t>
      </w:r>
      <w:r w:rsidRPr="00783F18">
        <w:rPr>
          <w:rFonts w:ascii="Times New Roman" w:eastAsia="Times New Roman" w:hAnsi="Times New Roman" w:cs="Times New Roman"/>
          <w:color w:val="000000"/>
          <w:sz w:val="24"/>
          <w:szCs w:val="24"/>
        </w:rPr>
        <w:t xml:space="preserve">and </w:t>
      </w:r>
      <w:r w:rsidRPr="00783F18">
        <w:rPr>
          <w:rFonts w:ascii="Times New Roman" w:eastAsia="Times New Roman" w:hAnsi="Times New Roman" w:cs="Times New Roman"/>
          <w:sz w:val="24"/>
          <w:szCs w:val="24"/>
        </w:rPr>
        <w:t>numerous regulatory, academic and public-private partnership initiatives</w:t>
      </w:r>
      <w:r w:rsidR="00025D82" w:rsidRPr="00783F18">
        <w:rPr>
          <w:rFonts w:ascii="Times New Roman" w:eastAsia="Times New Roman" w:hAnsi="Times New Roman" w:cs="Times New Roman"/>
          <w:sz w:val="24"/>
          <w:szCs w:val="24"/>
        </w:rPr>
        <w:t>.</w:t>
      </w:r>
      <w:r w:rsidR="00BE5BE4" w:rsidRPr="00BE5BE4">
        <w:rPr>
          <w:rFonts w:ascii="Times New Roman" w:eastAsia="Times New Roman" w:hAnsi="Times New Roman" w:cs="Times New Roman"/>
          <w:sz w:val="24"/>
          <w:szCs w:val="24"/>
          <w:vertAlign w:val="superscript"/>
        </w:rPr>
        <w:t>8-15</w:t>
      </w:r>
      <w:r w:rsidR="00BE5BE4" w:rsidRPr="00783F18">
        <w:rPr>
          <w:rFonts w:ascii="Times New Roman" w:eastAsia="Times New Roman" w:hAnsi="Times New Roman" w:cs="Times New Roman"/>
          <w:noProof/>
          <w:sz w:val="24"/>
          <w:szCs w:val="24"/>
          <w:lang w:val="en-US"/>
        </w:rPr>
        <w:t xml:space="preserve"> </w:t>
      </w:r>
      <w:r w:rsidRPr="00783F18">
        <w:rPr>
          <w:rFonts w:ascii="Times New Roman" w:eastAsia="Times New Roman" w:hAnsi="Times New Roman" w:cs="Times New Roman"/>
          <w:sz w:val="24"/>
          <w:szCs w:val="24"/>
        </w:rPr>
        <w:t xml:space="preserve">With the </w:t>
      </w:r>
      <w:r w:rsidRPr="00783F18">
        <w:rPr>
          <w:rFonts w:ascii="Times New Roman" w:eastAsia="Times New Roman" w:hAnsi="Times New Roman" w:cs="Times New Roman"/>
          <w:color w:val="000000"/>
          <w:sz w:val="24"/>
          <w:szCs w:val="24"/>
        </w:rPr>
        <w:t>increased diversity/complexity of the vaccine landscape with many vaccine products available</w:t>
      </w:r>
      <w:r w:rsidRPr="00783F18">
        <w:rPr>
          <w:rFonts w:ascii="Times New Roman" w:eastAsia="Times New Roman" w:hAnsi="Times New Roman" w:cs="Times New Roman"/>
          <w:sz w:val="24"/>
          <w:szCs w:val="24"/>
        </w:rPr>
        <w:t>, t</w:t>
      </w:r>
      <w:r w:rsidRPr="00783F18">
        <w:rPr>
          <w:rFonts w:ascii="Times New Roman" w:eastAsia="Times New Roman" w:hAnsi="Times New Roman" w:cs="Times New Roman"/>
          <w:color w:val="000000"/>
          <w:sz w:val="24"/>
          <w:szCs w:val="24"/>
        </w:rPr>
        <w:t>hese advancements are being applied to vaccines</w:t>
      </w:r>
      <w:r w:rsidR="00E93281" w:rsidRPr="00783F18">
        <w:rPr>
          <w:rFonts w:ascii="Times New Roman" w:eastAsia="Times New Roman" w:hAnsi="Times New Roman" w:cs="Times New Roman"/>
          <w:color w:val="000000"/>
          <w:sz w:val="24"/>
          <w:szCs w:val="24"/>
        </w:rPr>
        <w:t>.</w:t>
      </w:r>
      <w:r w:rsidR="00BE5BE4" w:rsidRPr="00BE5BE4">
        <w:rPr>
          <w:rFonts w:ascii="Times New Roman" w:eastAsia="Times New Roman" w:hAnsi="Times New Roman" w:cs="Times New Roman"/>
          <w:color w:val="000000"/>
          <w:sz w:val="24"/>
          <w:szCs w:val="24"/>
          <w:vertAlign w:val="superscript"/>
        </w:rPr>
        <w:t>16,17</w:t>
      </w:r>
      <w:r w:rsidR="00BE5BE4" w:rsidRPr="00783F18">
        <w:rPr>
          <w:rFonts w:ascii="Times New Roman" w:eastAsia="Times New Roman" w:hAnsi="Times New Roman" w:cs="Times New Roman"/>
          <w:noProof/>
          <w:color w:val="000000"/>
          <w:sz w:val="24"/>
          <w:szCs w:val="24"/>
          <w:lang w:val="en-US"/>
        </w:rPr>
        <w:t xml:space="preserve"> </w:t>
      </w:r>
      <w:r w:rsidRPr="00783F18">
        <w:rPr>
          <w:rFonts w:ascii="Times New Roman" w:eastAsia="Times New Roman" w:hAnsi="Times New Roman" w:cs="Times New Roman"/>
          <w:color w:val="000000"/>
          <w:sz w:val="24"/>
          <w:szCs w:val="24"/>
        </w:rPr>
        <w:t>The advanced planning and standards of a structured B-R module can speed decisions, mitigate risks, provide transparency, simplify B-R communication and, therefore, improve trust in the vaccine development and review process.  These considerations are even more important when there is an urgent need to approve a vaccine.</w:t>
      </w:r>
    </w:p>
    <w:p w14:paraId="20877D63" w14:textId="3B96B45A" w:rsidR="00943A61" w:rsidRPr="00783F18" w:rsidRDefault="00017C61" w:rsidP="009D7273">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The module serves as a tool, applicable throughout the vaccine life cycle, for planning a vaccine B-R assessment</w:t>
      </w:r>
      <w:r w:rsidR="00851165">
        <w:rPr>
          <w:rFonts w:ascii="Times New Roman" w:eastAsia="Times New Roman" w:hAnsi="Times New Roman" w:cs="Times New Roman"/>
          <w:sz w:val="24"/>
          <w:szCs w:val="24"/>
        </w:rPr>
        <w:t xml:space="preserve"> and for</w:t>
      </w:r>
      <w:r w:rsidRPr="00783F18">
        <w:rPr>
          <w:rFonts w:ascii="Times New Roman" w:eastAsia="Times New Roman" w:hAnsi="Times New Roman" w:cs="Times New Roman"/>
          <w:sz w:val="24"/>
          <w:szCs w:val="24"/>
        </w:rPr>
        <w:t xml:space="preserve"> conducting a defensible B-R assessment when data from clinical trials or post-marketing studies, including real-world evidence, become available</w:t>
      </w:r>
      <w:r w:rsidR="00851165">
        <w:rPr>
          <w:rFonts w:ascii="Times New Roman" w:eastAsia="Times New Roman" w:hAnsi="Times New Roman" w:cs="Times New Roman"/>
          <w:sz w:val="24"/>
          <w:szCs w:val="24"/>
        </w:rPr>
        <w:t xml:space="preserve">. It enables </w:t>
      </w:r>
      <w:r w:rsidRPr="00783F18">
        <w:rPr>
          <w:rFonts w:ascii="Times New Roman" w:eastAsia="Times New Roman" w:hAnsi="Times New Roman" w:cs="Times New Roman"/>
          <w:sz w:val="24"/>
          <w:szCs w:val="24"/>
        </w:rPr>
        <w:t xml:space="preserve">sharing the </w:t>
      </w:r>
      <w:r w:rsidR="00851165">
        <w:rPr>
          <w:rFonts w:ascii="Times New Roman" w:eastAsia="Times New Roman" w:hAnsi="Times New Roman" w:cs="Times New Roman"/>
          <w:sz w:val="24"/>
          <w:szCs w:val="24"/>
        </w:rPr>
        <w:t>evaluation</w:t>
      </w:r>
      <w:r w:rsidRPr="00783F18">
        <w:rPr>
          <w:rFonts w:ascii="Times New Roman" w:eastAsia="Times New Roman" w:hAnsi="Times New Roman" w:cs="Times New Roman"/>
          <w:sz w:val="24"/>
          <w:szCs w:val="24"/>
        </w:rPr>
        <w:t xml:space="preserve"> via value trees, effects tables and graphical depictions of B-R trade-offs.  It can be used by vaccine developers, funders, regulators and policy makers in high</w:t>
      </w:r>
      <w:r w:rsidR="002831F8">
        <w:rPr>
          <w:rFonts w:ascii="Times New Roman" w:eastAsia="Times New Roman" w:hAnsi="Times New Roman" w:cs="Times New Roman"/>
          <w:sz w:val="24"/>
          <w:szCs w:val="24"/>
        </w:rPr>
        <w:t>-</w:t>
      </w:r>
      <w:r w:rsidRPr="00783F18">
        <w:rPr>
          <w:rFonts w:ascii="Times New Roman" w:eastAsia="Times New Roman" w:hAnsi="Times New Roman" w:cs="Times New Roman"/>
          <w:sz w:val="24"/>
          <w:szCs w:val="24"/>
        </w:rPr>
        <w:t>middle or low-income countries to help inform decision-making</w:t>
      </w:r>
      <w:r w:rsidR="008001AE">
        <w:rPr>
          <w:rFonts w:ascii="Times New Roman" w:eastAsia="Times New Roman" w:hAnsi="Times New Roman" w:cs="Times New Roman"/>
          <w:sz w:val="24"/>
          <w:szCs w:val="24"/>
        </w:rPr>
        <w:t xml:space="preserve"> and </w:t>
      </w:r>
      <w:r w:rsidRPr="00783F18">
        <w:rPr>
          <w:rFonts w:ascii="Times New Roman" w:eastAsia="Times New Roman" w:hAnsi="Times New Roman" w:cs="Times New Roman"/>
          <w:sz w:val="24"/>
          <w:szCs w:val="24"/>
        </w:rPr>
        <w:t xml:space="preserve">facilitate transparent communication and scientific discourse concerning development, licensure, deployment and other lifecycle decisions. These roles are of particular importance in epidemics and pandemics, as observed in the rapid regulatory decisions needed for COVID-19 vaccines. </w:t>
      </w:r>
    </w:p>
    <w:p w14:paraId="20877D65" w14:textId="4E881487" w:rsidR="00943A61" w:rsidRPr="00783F18" w:rsidRDefault="00017C61" w:rsidP="009D7273">
      <w:pPr>
        <w:spacing w:after="0" w:line="480" w:lineRule="auto"/>
        <w:ind w:firstLine="720"/>
        <w:jc w:val="both"/>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 xml:space="preserve">The module is shown in table 1.  An on-line supplement demonstrates how the B-R assessment module might be </w:t>
      </w:r>
      <w:r w:rsidR="002831F8">
        <w:rPr>
          <w:rFonts w:ascii="Times New Roman" w:eastAsia="Times New Roman" w:hAnsi="Times New Roman" w:cs="Times New Roman"/>
          <w:sz w:val="24"/>
          <w:szCs w:val="24"/>
        </w:rPr>
        <w:t xml:space="preserve">used </w:t>
      </w:r>
      <w:r w:rsidRPr="00783F18">
        <w:rPr>
          <w:rFonts w:ascii="Times New Roman" w:eastAsia="Times New Roman" w:hAnsi="Times New Roman" w:cs="Times New Roman"/>
          <w:sz w:val="24"/>
          <w:szCs w:val="24"/>
        </w:rPr>
        <w:t xml:space="preserve">in a real-world B-R calculation, using an example of a </w:t>
      </w:r>
      <w:r w:rsidRPr="00783F18">
        <w:rPr>
          <w:rFonts w:ascii="Times New Roman" w:eastAsia="Times New Roman" w:hAnsi="Times New Roman" w:cs="Times New Roman"/>
          <w:sz w:val="24"/>
          <w:szCs w:val="24"/>
        </w:rPr>
        <w:lastRenderedPageBreak/>
        <w:t>generic COVID-19 mRNA vaccine versus no vaccination</w:t>
      </w:r>
      <w:r w:rsidR="00A12A38">
        <w:rPr>
          <w:rFonts w:ascii="Times New Roman" w:eastAsia="Times New Roman" w:hAnsi="Times New Roman" w:cs="Times New Roman"/>
          <w:sz w:val="24"/>
          <w:szCs w:val="24"/>
        </w:rPr>
        <w:t>,</w:t>
      </w:r>
      <w:r w:rsidRPr="00783F18">
        <w:rPr>
          <w:rFonts w:ascii="Times New Roman" w:eastAsia="Times New Roman" w:hAnsi="Times New Roman" w:cs="Times New Roman"/>
          <w:sz w:val="24"/>
          <w:szCs w:val="24"/>
        </w:rPr>
        <w:t xml:space="preserve"> largely based on CDC analysis from June 2021. </w:t>
      </w:r>
    </w:p>
    <w:p w14:paraId="20877D66" w14:textId="26D3A046" w:rsidR="00943A61" w:rsidRPr="009D7273" w:rsidRDefault="00017C61" w:rsidP="009D7273">
      <w:pPr>
        <w:pStyle w:val="Heading1"/>
        <w:spacing w:before="0" w:line="480" w:lineRule="auto"/>
        <w:jc w:val="both"/>
        <w:rPr>
          <w:rFonts w:ascii="Times New Roman" w:eastAsia="Times New Roman" w:hAnsi="Times New Roman" w:cs="Times New Roman"/>
          <w:b/>
          <w:bCs/>
          <w:color w:val="000000"/>
          <w:sz w:val="24"/>
          <w:szCs w:val="24"/>
        </w:rPr>
      </w:pPr>
      <w:r w:rsidRPr="009D7273">
        <w:rPr>
          <w:rFonts w:ascii="Times New Roman" w:eastAsia="Times New Roman" w:hAnsi="Times New Roman" w:cs="Times New Roman"/>
          <w:b/>
          <w:bCs/>
          <w:color w:val="000000"/>
          <w:sz w:val="24"/>
          <w:szCs w:val="24"/>
        </w:rPr>
        <w:t xml:space="preserve">3. </w:t>
      </w:r>
      <w:r w:rsidR="000B2DA2">
        <w:rPr>
          <w:rFonts w:ascii="Times New Roman" w:eastAsia="Times New Roman" w:hAnsi="Times New Roman" w:cs="Times New Roman"/>
          <w:b/>
          <w:bCs/>
          <w:color w:val="000000"/>
          <w:sz w:val="24"/>
          <w:szCs w:val="24"/>
        </w:rPr>
        <w:t>D</w:t>
      </w:r>
      <w:r w:rsidRPr="009D7273">
        <w:rPr>
          <w:rFonts w:ascii="Times New Roman" w:eastAsia="Times New Roman" w:hAnsi="Times New Roman" w:cs="Times New Roman"/>
          <w:b/>
          <w:bCs/>
          <w:color w:val="000000"/>
          <w:sz w:val="24"/>
          <w:szCs w:val="24"/>
        </w:rPr>
        <w:t xml:space="preserve">evelopment of the module  </w:t>
      </w:r>
    </w:p>
    <w:p w14:paraId="20877D68" w14:textId="6C2F0AC2" w:rsidR="00943A61" w:rsidRPr="00783F18" w:rsidRDefault="00017C61" w:rsidP="009D7273">
      <w:pPr>
        <w:spacing w:after="0" w:line="480" w:lineRule="auto"/>
        <w:ind w:firstLine="720"/>
        <w:jc w:val="both"/>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The B-R assessment module WG was formed by invited expressions of interest to the Brighton Collaboration network and to B-R experts. The WG consists of</w:t>
      </w:r>
      <w:r w:rsidR="00025D82" w:rsidRPr="00783F18">
        <w:rPr>
          <w:rFonts w:ascii="Times New Roman" w:eastAsia="Times New Roman" w:hAnsi="Times New Roman" w:cs="Times New Roman"/>
          <w:sz w:val="24"/>
          <w:szCs w:val="24"/>
        </w:rPr>
        <w:t xml:space="preserve"> 24 </w:t>
      </w:r>
      <w:r w:rsidRPr="00783F18">
        <w:rPr>
          <w:rFonts w:ascii="Times New Roman" w:eastAsia="Times New Roman" w:hAnsi="Times New Roman" w:cs="Times New Roman"/>
          <w:sz w:val="24"/>
          <w:szCs w:val="24"/>
        </w:rPr>
        <w:t xml:space="preserve">members with a mixture of significant B-R, vaccine safety and vaccine regulatory expertise from industry, regulatory bodies, public health authorities, academia and consulting. </w:t>
      </w:r>
    </w:p>
    <w:p w14:paraId="20877D6A" w14:textId="71A6878B" w:rsidR="00943A61" w:rsidRPr="00783F18" w:rsidRDefault="00017C61" w:rsidP="009D7273">
      <w:pPr>
        <w:spacing w:after="0" w:line="480" w:lineRule="auto"/>
        <w:ind w:firstLine="720"/>
        <w:jc w:val="both"/>
        <w:rPr>
          <w:rFonts w:ascii="Times New Roman" w:eastAsia="Times New Roman" w:hAnsi="Times New Roman" w:cs="Times New Roman"/>
          <w:sz w:val="24"/>
          <w:szCs w:val="24"/>
        </w:rPr>
      </w:pPr>
      <w:bookmarkStart w:id="2" w:name="bookmark=id.gjdgxs" w:colFirst="0" w:colLast="0"/>
      <w:bookmarkEnd w:id="2"/>
      <w:r w:rsidRPr="00783F18">
        <w:rPr>
          <w:rFonts w:ascii="Times New Roman" w:eastAsia="Times New Roman" w:hAnsi="Times New Roman" w:cs="Times New Roman"/>
          <w:sz w:val="24"/>
          <w:szCs w:val="24"/>
        </w:rPr>
        <w:t>The latest version of the module can be accessed on </w:t>
      </w:r>
      <w:hyperlink r:id="rId14">
        <w:r w:rsidRPr="00362430">
          <w:rPr>
            <w:rFonts w:ascii="Times New Roman" w:eastAsia="Times New Roman" w:hAnsi="Times New Roman" w:cs="Times New Roman"/>
            <w:sz w:val="24"/>
            <w:szCs w:val="24"/>
            <w:highlight w:val="yellow"/>
            <w:u w:val="single"/>
          </w:rPr>
          <w:t>xxx</w:t>
        </w:r>
      </w:hyperlink>
      <w:r w:rsidRPr="00783F18">
        <w:rPr>
          <w:rFonts w:ascii="Times New Roman" w:eastAsia="Times New Roman" w:hAnsi="Times New Roman" w:cs="Times New Roman"/>
          <w:sz w:val="24"/>
          <w:szCs w:val="24"/>
        </w:rPr>
        <w:t xml:space="preserve">. </w:t>
      </w:r>
      <w:r w:rsidR="00362430" w:rsidRPr="00783F18">
        <w:rPr>
          <w:rFonts w:ascii="Times New Roman" w:eastAsia="Times New Roman" w:hAnsi="Times New Roman" w:cs="Times New Roman"/>
          <w:sz w:val="24"/>
          <w:szCs w:val="24"/>
        </w:rPr>
        <w:t>Vaccine developers</w:t>
      </w:r>
      <w:r w:rsidR="00362430">
        <w:rPr>
          <w:rFonts w:ascii="Times New Roman" w:eastAsia="Times New Roman" w:hAnsi="Times New Roman" w:cs="Times New Roman"/>
          <w:sz w:val="24"/>
          <w:szCs w:val="24"/>
        </w:rPr>
        <w:t xml:space="preserve"> and funders</w:t>
      </w:r>
      <w:r w:rsidR="008001AE">
        <w:rPr>
          <w:rFonts w:ascii="Times New Roman" w:eastAsia="Times New Roman" w:hAnsi="Times New Roman" w:cs="Times New Roman"/>
          <w:sz w:val="24"/>
          <w:szCs w:val="24"/>
        </w:rPr>
        <w:t xml:space="preserve"> </w:t>
      </w:r>
      <w:r w:rsidRPr="00783F18">
        <w:rPr>
          <w:rFonts w:ascii="Times New Roman" w:eastAsia="Times New Roman" w:hAnsi="Times New Roman" w:cs="Times New Roman"/>
          <w:sz w:val="24"/>
          <w:szCs w:val="24"/>
        </w:rPr>
        <w:t xml:space="preserve">are encouraged to use the module for their vaccine candidates in development, </w:t>
      </w:r>
      <w:r w:rsidR="005D17E3" w:rsidRPr="00783F18">
        <w:rPr>
          <w:rFonts w:ascii="Times New Roman" w:eastAsia="Times New Roman" w:hAnsi="Times New Roman" w:cs="Times New Roman"/>
          <w:sz w:val="24"/>
          <w:szCs w:val="24"/>
        </w:rPr>
        <w:t>submission,</w:t>
      </w:r>
      <w:r w:rsidRPr="00783F18">
        <w:rPr>
          <w:rFonts w:ascii="Times New Roman" w:eastAsia="Times New Roman" w:hAnsi="Times New Roman" w:cs="Times New Roman"/>
          <w:sz w:val="24"/>
          <w:szCs w:val="24"/>
        </w:rPr>
        <w:t xml:space="preserve"> or post-approval. Collaboration with the BRAVATO B-R assessment module WG </w:t>
      </w:r>
      <w:r w:rsidR="007E1105">
        <w:rPr>
          <w:rFonts w:ascii="Times New Roman" w:eastAsia="Times New Roman" w:hAnsi="Times New Roman" w:cs="Times New Roman"/>
          <w:sz w:val="24"/>
          <w:szCs w:val="24"/>
        </w:rPr>
        <w:t xml:space="preserve">is encouraged and </w:t>
      </w:r>
      <w:r w:rsidRPr="00783F18">
        <w:rPr>
          <w:rFonts w:ascii="Times New Roman" w:eastAsia="Times New Roman" w:hAnsi="Times New Roman" w:cs="Times New Roman"/>
          <w:sz w:val="24"/>
          <w:szCs w:val="24"/>
        </w:rPr>
        <w:t xml:space="preserve">questions about using the module </w:t>
      </w:r>
      <w:r w:rsidR="007E1105">
        <w:rPr>
          <w:rFonts w:ascii="Times New Roman" w:eastAsia="Times New Roman" w:hAnsi="Times New Roman" w:cs="Times New Roman"/>
          <w:sz w:val="24"/>
          <w:szCs w:val="24"/>
        </w:rPr>
        <w:t xml:space="preserve">are welcome by the WG. </w:t>
      </w:r>
      <w:r w:rsidRPr="00783F18">
        <w:rPr>
          <w:rFonts w:ascii="Times New Roman" w:eastAsia="Times New Roman" w:hAnsi="Times New Roman" w:cs="Times New Roman"/>
          <w:sz w:val="24"/>
          <w:szCs w:val="24"/>
        </w:rPr>
        <w:t xml:space="preserve"> </w:t>
      </w:r>
    </w:p>
    <w:p w14:paraId="20877D6B" w14:textId="5C1EF07A" w:rsidR="00943A61" w:rsidRPr="00783F18" w:rsidRDefault="00017C61" w:rsidP="009D7273">
      <w:pPr>
        <w:spacing w:after="0" w:line="480" w:lineRule="auto"/>
        <w:ind w:firstLine="720"/>
        <w:jc w:val="both"/>
        <w:rPr>
          <w:rFonts w:ascii="Times New Roman" w:eastAsia="Times New Roman" w:hAnsi="Times New Roman" w:cs="Times New Roman"/>
          <w:sz w:val="24"/>
          <w:szCs w:val="24"/>
        </w:rPr>
      </w:pPr>
      <w:r w:rsidRPr="00783F18">
        <w:rPr>
          <w:rFonts w:ascii="Times New Roman" w:eastAsia="Times New Roman" w:hAnsi="Times New Roman" w:cs="Times New Roman"/>
          <w:color w:val="000000"/>
          <w:sz w:val="24"/>
          <w:szCs w:val="24"/>
        </w:rPr>
        <w:t xml:space="preserve">An </w:t>
      </w:r>
      <w:r w:rsidRPr="00783F18">
        <w:rPr>
          <w:rFonts w:ascii="Times New Roman" w:eastAsia="Times New Roman" w:hAnsi="Times New Roman" w:cs="Times New Roman"/>
          <w:sz w:val="24"/>
          <w:szCs w:val="24"/>
        </w:rPr>
        <w:t xml:space="preserve">accompanying interactive visualization tool is being developed which will also be </w:t>
      </w:r>
      <w:r w:rsidR="007E1105">
        <w:rPr>
          <w:rFonts w:ascii="Times New Roman" w:eastAsia="Times New Roman" w:hAnsi="Times New Roman" w:cs="Times New Roman"/>
          <w:sz w:val="24"/>
          <w:szCs w:val="24"/>
        </w:rPr>
        <w:t xml:space="preserve">publicly </w:t>
      </w:r>
      <w:r w:rsidRPr="00783F18">
        <w:rPr>
          <w:rFonts w:ascii="Times New Roman" w:eastAsia="Times New Roman" w:hAnsi="Times New Roman" w:cs="Times New Roman"/>
          <w:sz w:val="24"/>
          <w:szCs w:val="24"/>
        </w:rPr>
        <w:t xml:space="preserve">posted </w:t>
      </w:r>
      <w:commentRangeStart w:id="3"/>
      <w:r w:rsidRPr="00783F18">
        <w:rPr>
          <w:rFonts w:ascii="Times New Roman" w:eastAsia="Times New Roman" w:hAnsi="Times New Roman" w:cs="Times New Roman"/>
          <w:sz w:val="24"/>
          <w:szCs w:val="24"/>
        </w:rPr>
        <w:t>on</w:t>
      </w:r>
      <w:commentRangeEnd w:id="3"/>
      <w:r w:rsidR="00FB7FD0">
        <w:rPr>
          <w:rStyle w:val="CommentReference"/>
        </w:rPr>
        <w:commentReference w:id="3"/>
      </w:r>
      <w:r w:rsidRPr="00783F18">
        <w:rPr>
          <w:rFonts w:ascii="Times New Roman" w:eastAsia="Times New Roman" w:hAnsi="Times New Roman" w:cs="Times New Roman"/>
          <w:sz w:val="24"/>
          <w:szCs w:val="24"/>
        </w:rPr>
        <w:t xml:space="preserve"> </w:t>
      </w:r>
      <w:r w:rsidR="00E807D7">
        <w:rPr>
          <w:rFonts w:ascii="Times New Roman" w:eastAsia="Times New Roman" w:hAnsi="Times New Roman" w:cs="Times New Roman"/>
          <w:sz w:val="24"/>
          <w:szCs w:val="24"/>
        </w:rPr>
        <w:t>xxx</w:t>
      </w:r>
      <w:r w:rsidRPr="00783F18">
        <w:rPr>
          <w:rFonts w:ascii="Times New Roman" w:eastAsia="Times New Roman" w:hAnsi="Times New Roman" w:cs="Times New Roman"/>
          <w:sz w:val="24"/>
          <w:szCs w:val="24"/>
        </w:rPr>
        <w:t>.</w:t>
      </w:r>
    </w:p>
    <w:p w14:paraId="20877D6C" w14:textId="77777777" w:rsidR="00943A61" w:rsidRPr="00783F18" w:rsidRDefault="00943A61" w:rsidP="009D7273">
      <w:pPr>
        <w:spacing w:after="0" w:line="480" w:lineRule="auto"/>
        <w:jc w:val="both"/>
        <w:rPr>
          <w:rFonts w:ascii="Times New Roman" w:eastAsia="Times New Roman" w:hAnsi="Times New Roman" w:cs="Times New Roman"/>
          <w:b/>
          <w:sz w:val="24"/>
          <w:szCs w:val="24"/>
        </w:rPr>
      </w:pPr>
    </w:p>
    <w:p w14:paraId="20877D6D" w14:textId="5FF4A5C9" w:rsidR="00943A61" w:rsidRPr="00783F18" w:rsidRDefault="00F533EB" w:rsidP="009D727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00017C61" w:rsidRPr="00783F18">
        <w:rPr>
          <w:rFonts w:ascii="Times New Roman" w:eastAsia="Times New Roman" w:hAnsi="Times New Roman" w:cs="Times New Roman"/>
          <w:b/>
          <w:sz w:val="24"/>
          <w:szCs w:val="24"/>
        </w:rPr>
        <w:t xml:space="preserve">nstructions for completing the </w:t>
      </w:r>
      <w:proofErr w:type="gramStart"/>
      <w:r w:rsidR="00017C61" w:rsidRPr="00783F18">
        <w:rPr>
          <w:rFonts w:ascii="Times New Roman" w:eastAsia="Times New Roman" w:hAnsi="Times New Roman" w:cs="Times New Roman"/>
          <w:b/>
          <w:sz w:val="24"/>
          <w:szCs w:val="24"/>
        </w:rPr>
        <w:t>module</w:t>
      </w:r>
      <w:proofErr w:type="gramEnd"/>
    </w:p>
    <w:p w14:paraId="20877D6F" w14:textId="183E9215" w:rsidR="00943A61" w:rsidRDefault="00017C61" w:rsidP="009D7273">
      <w:pPr>
        <w:spacing w:after="0" w:line="480" w:lineRule="auto"/>
        <w:ind w:firstLine="720"/>
        <w:jc w:val="both"/>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 xml:space="preserve">The module includes detailed instructions for completing </w:t>
      </w:r>
      <w:r w:rsidR="001E1141">
        <w:rPr>
          <w:rFonts w:ascii="Times New Roman" w:eastAsia="Times New Roman" w:hAnsi="Times New Roman" w:cs="Times New Roman"/>
          <w:sz w:val="24"/>
          <w:szCs w:val="24"/>
        </w:rPr>
        <w:t>its</w:t>
      </w:r>
      <w:r w:rsidR="001E1141" w:rsidRPr="00783F18">
        <w:rPr>
          <w:rFonts w:ascii="Times New Roman" w:eastAsia="Times New Roman" w:hAnsi="Times New Roman" w:cs="Times New Roman"/>
          <w:sz w:val="24"/>
          <w:szCs w:val="24"/>
        </w:rPr>
        <w:t xml:space="preserve"> </w:t>
      </w:r>
      <w:r w:rsidRPr="00783F18">
        <w:rPr>
          <w:rFonts w:ascii="Times New Roman" w:eastAsia="Times New Roman" w:hAnsi="Times New Roman" w:cs="Times New Roman"/>
          <w:sz w:val="24"/>
          <w:szCs w:val="24"/>
        </w:rPr>
        <w:t>technical content</w:t>
      </w:r>
      <w:r w:rsidR="00090382">
        <w:rPr>
          <w:rFonts w:ascii="Times New Roman" w:eastAsia="Times New Roman" w:hAnsi="Times New Roman" w:cs="Times New Roman"/>
          <w:sz w:val="24"/>
          <w:szCs w:val="24"/>
        </w:rPr>
        <w:t xml:space="preserve">, </w:t>
      </w:r>
      <w:r w:rsidR="004C1FE0">
        <w:rPr>
          <w:rFonts w:ascii="Times New Roman" w:eastAsia="Times New Roman" w:hAnsi="Times New Roman" w:cs="Times New Roman"/>
          <w:sz w:val="24"/>
          <w:szCs w:val="24"/>
        </w:rPr>
        <w:t xml:space="preserve">which </w:t>
      </w:r>
      <w:r w:rsidR="00090382">
        <w:rPr>
          <w:rFonts w:ascii="Times New Roman" w:eastAsia="Times New Roman" w:hAnsi="Times New Roman" w:cs="Times New Roman"/>
          <w:sz w:val="24"/>
          <w:szCs w:val="24"/>
        </w:rPr>
        <w:t>users are recommended to read before using</w:t>
      </w:r>
      <w:r w:rsidRPr="00783F18">
        <w:rPr>
          <w:rFonts w:ascii="Times New Roman" w:eastAsia="Times New Roman" w:hAnsi="Times New Roman" w:cs="Times New Roman"/>
          <w:sz w:val="24"/>
          <w:szCs w:val="24"/>
        </w:rPr>
        <w:t xml:space="preserve">. Sources for data used in the template should be added to the reference section at the end of the module.  Unpublished </w:t>
      </w:r>
      <w:r w:rsidR="004C1FE0">
        <w:rPr>
          <w:rFonts w:ascii="Times New Roman" w:eastAsia="Times New Roman" w:hAnsi="Times New Roman" w:cs="Times New Roman"/>
          <w:sz w:val="24"/>
          <w:szCs w:val="24"/>
        </w:rPr>
        <w:t xml:space="preserve">original </w:t>
      </w:r>
      <w:r w:rsidRPr="00783F18">
        <w:rPr>
          <w:rFonts w:ascii="Times New Roman" w:eastAsia="Times New Roman" w:hAnsi="Times New Roman" w:cs="Times New Roman"/>
          <w:sz w:val="24"/>
          <w:szCs w:val="24"/>
        </w:rPr>
        <w:t xml:space="preserve">data are acceptable, though source and contact information should be included. In general, the module provides </w:t>
      </w:r>
      <w:r w:rsidR="001210CC">
        <w:rPr>
          <w:rFonts w:ascii="Times New Roman" w:eastAsia="Times New Roman" w:hAnsi="Times New Roman" w:cs="Times New Roman"/>
          <w:sz w:val="24"/>
          <w:szCs w:val="24"/>
        </w:rPr>
        <w:t>the opportunity to</w:t>
      </w:r>
      <w:r w:rsidRPr="00783F18">
        <w:rPr>
          <w:rFonts w:ascii="Times New Roman" w:eastAsia="Times New Roman" w:hAnsi="Times New Roman" w:cs="Times New Roman"/>
          <w:sz w:val="24"/>
          <w:szCs w:val="24"/>
        </w:rPr>
        <w:t xml:space="preserve"> commenting on any concerns or limitations of the responses provided. </w:t>
      </w:r>
      <w:r w:rsidR="00090382">
        <w:rPr>
          <w:rFonts w:ascii="Times New Roman" w:eastAsia="Times New Roman" w:hAnsi="Times New Roman" w:cs="Times New Roman"/>
          <w:sz w:val="24"/>
          <w:szCs w:val="24"/>
        </w:rPr>
        <w:t xml:space="preserve">Users can </w:t>
      </w:r>
      <w:r w:rsidR="008001AE">
        <w:rPr>
          <w:rFonts w:ascii="Times New Roman" w:eastAsia="Times New Roman" w:hAnsi="Times New Roman" w:cs="Times New Roman"/>
          <w:sz w:val="24"/>
          <w:szCs w:val="24"/>
        </w:rPr>
        <w:t>s</w:t>
      </w:r>
      <w:r w:rsidRPr="00783F18">
        <w:rPr>
          <w:rFonts w:ascii="Times New Roman" w:eastAsia="Times New Roman" w:hAnsi="Times New Roman" w:cs="Times New Roman"/>
          <w:sz w:val="24"/>
          <w:szCs w:val="24"/>
        </w:rPr>
        <w:t xml:space="preserve">end questions about use of the module and suggestions for its improvement to </w:t>
      </w:r>
      <w:r w:rsidR="00C80A7D" w:rsidRPr="00C80A7D">
        <w:rPr>
          <w:rFonts w:ascii="Times New Roman" w:eastAsia="Times New Roman" w:hAnsi="Times New Roman" w:cs="Times New Roman"/>
          <w:sz w:val="24"/>
          <w:szCs w:val="24"/>
        </w:rPr>
        <w:t>bc-coordinator@taskforce.org</w:t>
      </w:r>
      <w:r w:rsidRPr="00783F18">
        <w:rPr>
          <w:rFonts w:ascii="Times New Roman" w:eastAsia="Times New Roman" w:hAnsi="Times New Roman" w:cs="Times New Roman"/>
          <w:sz w:val="24"/>
          <w:szCs w:val="24"/>
        </w:rPr>
        <w:t xml:space="preserve">.  </w:t>
      </w:r>
    </w:p>
    <w:p w14:paraId="54949B1E" w14:textId="7072980D" w:rsidR="001210CC" w:rsidRDefault="00EC2704" w:rsidP="009D727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sidR="001210CC">
        <w:rPr>
          <w:rFonts w:ascii="Times New Roman" w:eastAsia="Times New Roman" w:hAnsi="Times New Roman" w:cs="Times New Roman"/>
          <w:sz w:val="24"/>
          <w:szCs w:val="24"/>
        </w:rPr>
        <w:t xml:space="preserve"> briefly describe each section of the module and give instructions for completing them.  </w:t>
      </w:r>
      <w:r w:rsidR="006C50FB">
        <w:rPr>
          <w:rFonts w:ascii="Times New Roman" w:eastAsia="Times New Roman" w:hAnsi="Times New Roman" w:cs="Times New Roman"/>
          <w:sz w:val="24"/>
          <w:szCs w:val="24"/>
        </w:rPr>
        <w:t>D</w:t>
      </w:r>
      <w:r w:rsidR="001210CC">
        <w:rPr>
          <w:rFonts w:ascii="Times New Roman" w:eastAsia="Times New Roman" w:hAnsi="Times New Roman" w:cs="Times New Roman"/>
          <w:sz w:val="24"/>
          <w:szCs w:val="24"/>
        </w:rPr>
        <w:t>etailed instructions are in the module itself.</w:t>
      </w:r>
    </w:p>
    <w:p w14:paraId="20877D70" w14:textId="77777777" w:rsidR="00943A61" w:rsidRPr="009D7273" w:rsidRDefault="00017C61" w:rsidP="009D7273">
      <w:pPr>
        <w:spacing w:after="0" w:line="480" w:lineRule="auto"/>
        <w:jc w:val="both"/>
        <w:rPr>
          <w:rFonts w:ascii="Times New Roman" w:eastAsia="Times New Roman" w:hAnsi="Times New Roman" w:cs="Times New Roman"/>
          <w:sz w:val="24"/>
          <w:szCs w:val="24"/>
          <w:u w:val="single"/>
        </w:rPr>
      </w:pPr>
      <w:r w:rsidRPr="009D7273">
        <w:rPr>
          <w:rFonts w:ascii="Times New Roman" w:eastAsia="Times New Roman" w:hAnsi="Times New Roman" w:cs="Times New Roman"/>
          <w:sz w:val="24"/>
          <w:szCs w:val="24"/>
          <w:u w:val="single"/>
        </w:rPr>
        <w:t>Section 1: Decision Context</w:t>
      </w:r>
    </w:p>
    <w:p w14:paraId="20877D71" w14:textId="63D264A1" w:rsidR="00943A61" w:rsidRPr="00783F18" w:rsidRDefault="00017C61" w:rsidP="009D7273">
      <w:pPr>
        <w:spacing w:after="0" w:line="480" w:lineRule="auto"/>
        <w:ind w:left="360"/>
        <w:jc w:val="both"/>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lastRenderedPageBreak/>
        <w:t xml:space="preserve">The decision context can be considered </w:t>
      </w:r>
      <w:r w:rsidR="00FC250A">
        <w:rPr>
          <w:rFonts w:ascii="Times New Roman" w:eastAsia="Times New Roman" w:hAnsi="Times New Roman" w:cs="Times New Roman"/>
          <w:sz w:val="24"/>
          <w:szCs w:val="24"/>
        </w:rPr>
        <w:t xml:space="preserve">a </w:t>
      </w:r>
      <w:r w:rsidRPr="00783F18">
        <w:rPr>
          <w:rFonts w:ascii="Times New Roman" w:eastAsia="Times New Roman" w:hAnsi="Times New Roman" w:cs="Times New Roman"/>
          <w:sz w:val="24"/>
          <w:szCs w:val="24"/>
        </w:rPr>
        <w:t>description of the decision being made and a summary of key background assumptions.  The decision context has four parts:</w:t>
      </w:r>
    </w:p>
    <w:p w14:paraId="20877D72" w14:textId="7C0243DE" w:rsidR="00943A61" w:rsidRPr="00783F18" w:rsidRDefault="00017C61" w:rsidP="009D7273">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783F18">
        <w:rPr>
          <w:rFonts w:ascii="Times New Roman" w:eastAsia="Times New Roman" w:hAnsi="Times New Roman" w:cs="Times New Roman"/>
          <w:color w:val="000000"/>
          <w:sz w:val="24"/>
          <w:szCs w:val="24"/>
        </w:rPr>
        <w:t xml:space="preserve">1A: In “Authorship and Role”, include the names of all authors of the assessment, the date the module is completed and whether the module is being used for advanced planning, </w:t>
      </w:r>
      <w:r w:rsidR="00C80A7D" w:rsidRPr="00783F18">
        <w:rPr>
          <w:rFonts w:ascii="Times New Roman" w:eastAsia="Times New Roman" w:hAnsi="Times New Roman" w:cs="Times New Roman"/>
          <w:color w:val="000000"/>
          <w:sz w:val="24"/>
          <w:szCs w:val="24"/>
        </w:rPr>
        <w:t>reporting,</w:t>
      </w:r>
      <w:r w:rsidRPr="00783F18">
        <w:rPr>
          <w:rFonts w:ascii="Times New Roman" w:eastAsia="Times New Roman" w:hAnsi="Times New Roman" w:cs="Times New Roman"/>
          <w:color w:val="000000"/>
          <w:sz w:val="24"/>
          <w:szCs w:val="24"/>
        </w:rPr>
        <w:t xml:space="preserve"> or reviewing a B-R assessment. If the module is being updated, please provide the date of the original and the new version.  These co-authors will be included in the final published module in the journal </w:t>
      </w:r>
      <w:r w:rsidRPr="00604E75">
        <w:rPr>
          <w:rFonts w:ascii="Times New Roman" w:eastAsia="Times New Roman" w:hAnsi="Times New Roman" w:cs="Times New Roman"/>
          <w:i/>
          <w:iCs/>
          <w:color w:val="000000"/>
          <w:sz w:val="24"/>
          <w:szCs w:val="24"/>
        </w:rPr>
        <w:t>Vaccine</w:t>
      </w:r>
      <w:r w:rsidRPr="00783F18">
        <w:rPr>
          <w:rFonts w:ascii="Times New Roman" w:eastAsia="Times New Roman" w:hAnsi="Times New Roman" w:cs="Times New Roman"/>
          <w:color w:val="000000"/>
          <w:sz w:val="24"/>
          <w:szCs w:val="24"/>
        </w:rPr>
        <w:t xml:space="preserve"> once reviewed and approved by the B-R assessment module WG and in subsequent Wiki updates on the Brighton Collaboration website.</w:t>
      </w:r>
    </w:p>
    <w:p w14:paraId="20877D73" w14:textId="77777777" w:rsidR="00943A61" w:rsidRPr="00783F18" w:rsidRDefault="00017C61" w:rsidP="009D7273">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783F18">
        <w:rPr>
          <w:rFonts w:ascii="Times New Roman" w:eastAsia="Times New Roman" w:hAnsi="Times New Roman" w:cs="Times New Roman"/>
          <w:color w:val="000000"/>
          <w:sz w:val="24"/>
          <w:szCs w:val="24"/>
        </w:rPr>
        <w:t>1B: In “Vaccine of Interest Topics”, describe the vaccine for which B-R is being conducted, including formulation/regimen, lifecycle stage and objective for the vaccine immunization program.</w:t>
      </w:r>
    </w:p>
    <w:p w14:paraId="20877D74" w14:textId="7E9F5FD3" w:rsidR="00943A61" w:rsidRPr="00783F18" w:rsidRDefault="00017C61" w:rsidP="009D7273">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783F18">
        <w:rPr>
          <w:rFonts w:ascii="Times New Roman" w:eastAsia="Times New Roman" w:hAnsi="Times New Roman" w:cs="Times New Roman"/>
          <w:color w:val="000000"/>
          <w:sz w:val="24"/>
          <w:szCs w:val="24"/>
        </w:rPr>
        <w:t>1C: In “Disease and Treatments Topics”, describe the disease of interest, population, nature of the condition for which the vaccine is intended, existing vaccines and therapies for this condition and the unmet medical need</w:t>
      </w:r>
      <w:r w:rsidR="004C7332">
        <w:rPr>
          <w:rFonts w:ascii="Times New Roman" w:eastAsia="Times New Roman" w:hAnsi="Times New Roman" w:cs="Times New Roman"/>
          <w:color w:val="000000"/>
          <w:sz w:val="24"/>
          <w:szCs w:val="24"/>
        </w:rPr>
        <w:t>.</w:t>
      </w:r>
    </w:p>
    <w:p w14:paraId="20877D76" w14:textId="7129A824" w:rsidR="00943A61" w:rsidRPr="009D7273" w:rsidRDefault="00017C61" w:rsidP="009D7273">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783F18">
        <w:rPr>
          <w:rFonts w:ascii="Times New Roman" w:eastAsia="Times New Roman" w:hAnsi="Times New Roman" w:cs="Times New Roman"/>
          <w:color w:val="000000"/>
          <w:sz w:val="24"/>
          <w:szCs w:val="24"/>
        </w:rPr>
        <w:t xml:space="preserve">1D: In “High-level Benefit-Risk Topics”, describe the purpose/drivers for the B-R assessment </w:t>
      </w:r>
      <w:r w:rsidR="004C7332">
        <w:rPr>
          <w:rFonts w:ascii="Times New Roman" w:eastAsia="Times New Roman" w:hAnsi="Times New Roman" w:cs="Times New Roman"/>
          <w:color w:val="000000"/>
          <w:sz w:val="24"/>
          <w:szCs w:val="24"/>
        </w:rPr>
        <w:t>being</w:t>
      </w:r>
      <w:r w:rsidR="004C7332" w:rsidRPr="00783F18">
        <w:rPr>
          <w:rFonts w:ascii="Times New Roman" w:eastAsia="Times New Roman" w:hAnsi="Times New Roman" w:cs="Times New Roman"/>
          <w:color w:val="000000"/>
          <w:sz w:val="24"/>
          <w:szCs w:val="24"/>
        </w:rPr>
        <w:t xml:space="preserve"> </w:t>
      </w:r>
      <w:r w:rsidRPr="00783F18">
        <w:rPr>
          <w:rFonts w:ascii="Times New Roman" w:eastAsia="Times New Roman" w:hAnsi="Times New Roman" w:cs="Times New Roman"/>
          <w:color w:val="000000"/>
          <w:sz w:val="24"/>
          <w:szCs w:val="24"/>
        </w:rPr>
        <w:t>conducted, comparator(s), time horizon after vaccination over which events will be considered and subgroups of special interest.</w:t>
      </w:r>
    </w:p>
    <w:p w14:paraId="20877D77" w14:textId="77777777" w:rsidR="00943A61" w:rsidRPr="009D7273" w:rsidRDefault="00017C61" w:rsidP="009D7273">
      <w:pPr>
        <w:keepNext/>
        <w:spacing w:line="480" w:lineRule="auto"/>
        <w:rPr>
          <w:rFonts w:ascii="Times New Roman" w:eastAsia="Times New Roman" w:hAnsi="Times New Roman" w:cs="Times New Roman"/>
          <w:sz w:val="24"/>
          <w:szCs w:val="24"/>
          <w:u w:val="single"/>
        </w:rPr>
      </w:pPr>
      <w:r w:rsidRPr="009D7273">
        <w:rPr>
          <w:rFonts w:ascii="Times New Roman" w:eastAsia="Times New Roman" w:hAnsi="Times New Roman" w:cs="Times New Roman"/>
          <w:sz w:val="24"/>
          <w:szCs w:val="24"/>
          <w:u w:val="single"/>
        </w:rPr>
        <w:t>Section 2: Identifying key endpoints for B-R (Developing a Value Tree)</w:t>
      </w:r>
    </w:p>
    <w:p w14:paraId="20877D79" w14:textId="5895DB4D" w:rsidR="00943A61" w:rsidRPr="00783F18" w:rsidRDefault="00017C61" w:rsidP="009D7273">
      <w:pPr>
        <w:spacing w:after="0" w:line="480" w:lineRule="auto"/>
        <w:ind w:firstLine="720"/>
        <w:jc w:val="both"/>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Identify and define the benefit</w:t>
      </w:r>
      <w:r w:rsidR="00851165">
        <w:rPr>
          <w:rFonts w:ascii="Times New Roman" w:eastAsia="Times New Roman" w:hAnsi="Times New Roman" w:cs="Times New Roman"/>
          <w:sz w:val="24"/>
          <w:szCs w:val="24"/>
        </w:rPr>
        <w:t xml:space="preserve"> and </w:t>
      </w:r>
      <w:r w:rsidRPr="00783F18">
        <w:rPr>
          <w:rFonts w:ascii="Times New Roman" w:eastAsia="Times New Roman" w:hAnsi="Times New Roman" w:cs="Times New Roman"/>
          <w:sz w:val="24"/>
          <w:szCs w:val="24"/>
        </w:rPr>
        <w:t>risk</w:t>
      </w:r>
      <w:r w:rsidR="00851165">
        <w:rPr>
          <w:rFonts w:ascii="Times New Roman" w:eastAsia="Times New Roman" w:hAnsi="Times New Roman" w:cs="Times New Roman"/>
          <w:sz w:val="24"/>
          <w:szCs w:val="24"/>
        </w:rPr>
        <w:t xml:space="preserve"> endpoints</w:t>
      </w:r>
      <w:r w:rsidRPr="00783F18">
        <w:rPr>
          <w:rFonts w:ascii="Times New Roman" w:eastAsia="Times New Roman" w:hAnsi="Times New Roman" w:cs="Times New Roman"/>
          <w:sz w:val="24"/>
          <w:szCs w:val="24"/>
        </w:rPr>
        <w:t xml:space="preserve"> used for B-R assessment, including whether the endpoints are key for B-R assessment, potential or identified, their clinical impact, rationale for inclusion and any limitations.  Optionally, a B-R value tree figure can be included and replace the example value tree in Appendix 1.</w:t>
      </w:r>
    </w:p>
    <w:p w14:paraId="20877D7A" w14:textId="77777777" w:rsidR="00943A61" w:rsidRPr="009D7273" w:rsidRDefault="00017C61" w:rsidP="009D7273">
      <w:pPr>
        <w:spacing w:after="0" w:line="480" w:lineRule="auto"/>
        <w:jc w:val="both"/>
        <w:rPr>
          <w:rFonts w:ascii="Times New Roman" w:eastAsia="Times New Roman" w:hAnsi="Times New Roman" w:cs="Times New Roman"/>
          <w:sz w:val="24"/>
          <w:szCs w:val="24"/>
          <w:u w:val="single"/>
        </w:rPr>
      </w:pPr>
      <w:r w:rsidRPr="009D7273">
        <w:rPr>
          <w:rFonts w:ascii="Times New Roman" w:eastAsia="Times New Roman" w:hAnsi="Times New Roman" w:cs="Times New Roman"/>
          <w:sz w:val="24"/>
          <w:szCs w:val="24"/>
          <w:u w:val="single"/>
        </w:rPr>
        <w:t>Section 3: Data Sources</w:t>
      </w:r>
    </w:p>
    <w:p w14:paraId="20877D7C" w14:textId="0F812639" w:rsidR="00943A61" w:rsidRPr="00783F18" w:rsidRDefault="00017C61" w:rsidP="009D7273">
      <w:pPr>
        <w:spacing w:after="0" w:line="480" w:lineRule="auto"/>
        <w:ind w:firstLine="720"/>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lastRenderedPageBreak/>
        <w:t xml:space="preserve">List </w:t>
      </w:r>
      <w:r w:rsidR="00B0694E">
        <w:rPr>
          <w:rFonts w:ascii="Times New Roman" w:eastAsia="Times New Roman" w:hAnsi="Times New Roman" w:cs="Times New Roman"/>
          <w:sz w:val="24"/>
          <w:szCs w:val="24"/>
        </w:rPr>
        <w:t>each</w:t>
      </w:r>
      <w:r w:rsidR="00B0694E" w:rsidRPr="00783F18">
        <w:rPr>
          <w:rFonts w:ascii="Times New Roman" w:eastAsia="Times New Roman" w:hAnsi="Times New Roman" w:cs="Times New Roman"/>
          <w:sz w:val="24"/>
          <w:szCs w:val="24"/>
        </w:rPr>
        <w:t xml:space="preserve"> </w:t>
      </w:r>
      <w:r w:rsidRPr="00783F18">
        <w:rPr>
          <w:rFonts w:ascii="Times New Roman" w:eastAsia="Times New Roman" w:hAnsi="Times New Roman" w:cs="Times New Roman"/>
          <w:sz w:val="24"/>
          <w:szCs w:val="24"/>
        </w:rPr>
        <w:t xml:space="preserve">data source planned to be used for the B-R assessments or that were used for the assessment, </w:t>
      </w:r>
      <w:r w:rsidR="00B0694E" w:rsidRPr="00783F18">
        <w:rPr>
          <w:rFonts w:ascii="Times New Roman" w:eastAsia="Times New Roman" w:hAnsi="Times New Roman" w:cs="Times New Roman"/>
          <w:sz w:val="24"/>
          <w:szCs w:val="24"/>
        </w:rPr>
        <w:t xml:space="preserve">the rationale for its selection, its role(s) in the assessment </w:t>
      </w:r>
      <w:r w:rsidRPr="00783F18">
        <w:rPr>
          <w:rFonts w:ascii="Times New Roman" w:eastAsia="Times New Roman" w:hAnsi="Times New Roman" w:cs="Times New Roman"/>
          <w:sz w:val="24"/>
          <w:szCs w:val="24"/>
        </w:rPr>
        <w:t>and limitations</w:t>
      </w:r>
      <w:r w:rsidR="00F95548">
        <w:rPr>
          <w:rFonts w:ascii="Times New Roman" w:eastAsia="Times New Roman" w:hAnsi="Times New Roman" w:cs="Times New Roman"/>
          <w:sz w:val="24"/>
          <w:szCs w:val="24"/>
        </w:rPr>
        <w:t xml:space="preserve"> for B-R</w:t>
      </w:r>
      <w:r w:rsidRPr="00783F18">
        <w:rPr>
          <w:rFonts w:ascii="Times New Roman" w:eastAsia="Times New Roman" w:hAnsi="Times New Roman" w:cs="Times New Roman"/>
          <w:sz w:val="24"/>
          <w:szCs w:val="24"/>
        </w:rPr>
        <w:t>. Sources may include randomized controlled trials, observational studies, effectiveness studies, public health surveillance data (</w:t>
      </w:r>
      <w:r w:rsidR="00C80A7D" w:rsidRPr="00783F18">
        <w:rPr>
          <w:rFonts w:ascii="Times New Roman" w:eastAsia="Times New Roman" w:hAnsi="Times New Roman" w:cs="Times New Roman"/>
          <w:sz w:val="24"/>
          <w:szCs w:val="24"/>
        </w:rPr>
        <w:t>e.g.,</w:t>
      </w:r>
      <w:r w:rsidRPr="00783F18">
        <w:rPr>
          <w:rFonts w:ascii="Times New Roman" w:eastAsia="Times New Roman" w:hAnsi="Times New Roman" w:cs="Times New Roman"/>
          <w:sz w:val="24"/>
          <w:szCs w:val="24"/>
        </w:rPr>
        <w:t xml:space="preserve"> CDC), spontaneous reports, long-term efficacy or safety studies, pharmacovigilance databases, etc.</w:t>
      </w:r>
    </w:p>
    <w:p w14:paraId="20877D7D" w14:textId="77777777" w:rsidR="00943A61" w:rsidRPr="009D7273" w:rsidRDefault="00017C61" w:rsidP="009D7273">
      <w:pPr>
        <w:spacing w:after="0" w:line="480" w:lineRule="auto"/>
        <w:jc w:val="both"/>
        <w:rPr>
          <w:rFonts w:ascii="Times New Roman" w:eastAsia="Times New Roman" w:hAnsi="Times New Roman" w:cs="Times New Roman"/>
          <w:sz w:val="24"/>
          <w:szCs w:val="24"/>
          <w:u w:val="single"/>
        </w:rPr>
      </w:pPr>
      <w:r w:rsidRPr="009D7273">
        <w:rPr>
          <w:rFonts w:ascii="Times New Roman" w:eastAsia="Times New Roman" w:hAnsi="Times New Roman" w:cs="Times New Roman"/>
          <w:sz w:val="24"/>
          <w:szCs w:val="24"/>
          <w:u w:val="single"/>
        </w:rPr>
        <w:t>Section 4: Statistical Methods</w:t>
      </w:r>
    </w:p>
    <w:p w14:paraId="20877D7F" w14:textId="575DE8CC" w:rsidR="00943A61" w:rsidRPr="00783F18" w:rsidRDefault="00017C61" w:rsidP="009D7273">
      <w:pPr>
        <w:spacing w:after="0" w:line="480" w:lineRule="auto"/>
        <w:ind w:firstLine="720"/>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 xml:space="preserve">Describe the approaches used to calculate rates and cases prevented or caused in Sections 4 and 5, based on data sources in section 3. Provide an outline level explanation sufficient for an informed reader to understand the general approaches used for each endpoint.  As appropriate, describe the types of metrics used (e.g., incident proportions, incident rates), analysis sets, time horizon, strata adjustments, methods for pooling of data sources, 95% confidence intervals </w:t>
      </w:r>
      <w:r w:rsidR="00367603">
        <w:rPr>
          <w:rFonts w:ascii="Times New Roman" w:eastAsia="Times New Roman" w:hAnsi="Times New Roman" w:cs="Times New Roman"/>
          <w:sz w:val="24"/>
          <w:szCs w:val="24"/>
        </w:rPr>
        <w:t xml:space="preserve">(CIs) </w:t>
      </w:r>
      <w:r w:rsidRPr="00783F18">
        <w:rPr>
          <w:rFonts w:ascii="Times New Roman" w:eastAsia="Times New Roman" w:hAnsi="Times New Roman" w:cs="Times New Roman"/>
          <w:sz w:val="24"/>
          <w:szCs w:val="24"/>
        </w:rPr>
        <w:t>or other measures of uncertainty. List the sensitivity analyses conducted using alternative incident rates and scenarios of special interest.</w:t>
      </w:r>
    </w:p>
    <w:p w14:paraId="20877D81" w14:textId="2DE7FFE6" w:rsidR="00943A61" w:rsidRPr="00783F18" w:rsidRDefault="00017C61" w:rsidP="009D7273">
      <w:pPr>
        <w:spacing w:after="0" w:line="480" w:lineRule="auto"/>
        <w:ind w:firstLine="720"/>
        <w:jc w:val="both"/>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 xml:space="preserve">Alternatively, a report can be attached that demonstrates how the data entered in sections 4 and 5 were derived from data sources </w:t>
      </w:r>
      <w:r w:rsidR="00FC250A">
        <w:rPr>
          <w:rFonts w:ascii="Times New Roman" w:eastAsia="Times New Roman" w:hAnsi="Times New Roman" w:cs="Times New Roman"/>
          <w:sz w:val="24"/>
          <w:szCs w:val="24"/>
        </w:rPr>
        <w:t xml:space="preserve">listed </w:t>
      </w:r>
      <w:r w:rsidRPr="00783F18">
        <w:rPr>
          <w:rFonts w:ascii="Times New Roman" w:eastAsia="Times New Roman" w:hAnsi="Times New Roman" w:cs="Times New Roman"/>
          <w:sz w:val="24"/>
          <w:szCs w:val="24"/>
        </w:rPr>
        <w:t>in section 3.</w:t>
      </w:r>
    </w:p>
    <w:p w14:paraId="20877D82" w14:textId="77777777" w:rsidR="00943A61" w:rsidRPr="009D7273" w:rsidRDefault="00017C61" w:rsidP="009D7273">
      <w:pPr>
        <w:spacing w:after="0" w:line="480" w:lineRule="auto"/>
        <w:jc w:val="both"/>
        <w:rPr>
          <w:rFonts w:ascii="Times New Roman" w:eastAsia="Times New Roman" w:hAnsi="Times New Roman" w:cs="Times New Roman"/>
          <w:sz w:val="24"/>
          <w:szCs w:val="24"/>
          <w:u w:val="single"/>
        </w:rPr>
      </w:pPr>
      <w:r w:rsidRPr="009D7273">
        <w:rPr>
          <w:rFonts w:ascii="Times New Roman" w:eastAsia="Times New Roman" w:hAnsi="Times New Roman" w:cs="Times New Roman"/>
          <w:sz w:val="24"/>
          <w:szCs w:val="24"/>
          <w:u w:val="single"/>
        </w:rPr>
        <w:t>Section 5: Benefits Data</w:t>
      </w:r>
    </w:p>
    <w:p w14:paraId="20877D84" w14:textId="16886FB6" w:rsidR="00943A61" w:rsidRPr="00783F18" w:rsidRDefault="00017C61" w:rsidP="009D7273">
      <w:pPr>
        <w:spacing w:after="0" w:line="480" w:lineRule="auto"/>
        <w:ind w:firstLine="720"/>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 xml:space="preserve">For each benefit, provide the data to be used in the assessment, including cases per 1,000,000 individuals vaccinated (or other population size) with the vaccine of interest, number of cases per 1,000,000 individuals on the comparator, number of cases caused or prevented by the vaccine of interest vs. comparator per 1,000,000 individuals, and assessment of strengths and uncertainties of evidence. If calculable and relevant to the B-R assessment, 95% confidence intervals for the number of cases caused or prevented can be included. Number needed to vaccinate (NNV) can optionally be included.  If multiple comparators, infection/transmission rates, subgroups or scenarios are included, separate versions of the </w:t>
      </w:r>
      <w:r w:rsidRPr="00783F18">
        <w:rPr>
          <w:rFonts w:ascii="Times New Roman" w:eastAsia="Times New Roman" w:hAnsi="Times New Roman" w:cs="Times New Roman"/>
          <w:sz w:val="24"/>
          <w:szCs w:val="24"/>
        </w:rPr>
        <w:lastRenderedPageBreak/>
        <w:t>table should be completed for those endpoints affected. These separate tables can be omitted initially and completed as more data becomes available.</w:t>
      </w:r>
    </w:p>
    <w:p w14:paraId="20877D85" w14:textId="77777777" w:rsidR="00943A61" w:rsidRPr="009D7273" w:rsidRDefault="00017C61" w:rsidP="009D7273">
      <w:pPr>
        <w:spacing w:after="0" w:line="480" w:lineRule="auto"/>
        <w:jc w:val="both"/>
        <w:rPr>
          <w:rFonts w:ascii="Times New Roman" w:eastAsia="Times New Roman" w:hAnsi="Times New Roman" w:cs="Times New Roman"/>
          <w:sz w:val="24"/>
          <w:szCs w:val="24"/>
          <w:u w:val="single"/>
        </w:rPr>
      </w:pPr>
      <w:r w:rsidRPr="009D7273">
        <w:rPr>
          <w:rFonts w:ascii="Times New Roman" w:eastAsia="Times New Roman" w:hAnsi="Times New Roman" w:cs="Times New Roman"/>
          <w:sz w:val="24"/>
          <w:szCs w:val="24"/>
          <w:u w:val="single"/>
        </w:rPr>
        <w:t>Section 6: Risks Data and Mitigations</w:t>
      </w:r>
    </w:p>
    <w:p w14:paraId="20877D87" w14:textId="15BFB7A3" w:rsidR="00943A61" w:rsidRPr="00783F18" w:rsidRDefault="00017C61" w:rsidP="009D7273">
      <w:pPr>
        <w:spacing w:after="0" w:line="480" w:lineRule="auto"/>
        <w:ind w:firstLine="720"/>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 xml:space="preserve">Provide the same type of data for risks </w:t>
      </w:r>
      <w:r w:rsidR="005E4577">
        <w:rPr>
          <w:rFonts w:ascii="Times New Roman" w:eastAsia="Times New Roman" w:hAnsi="Times New Roman" w:cs="Times New Roman"/>
          <w:sz w:val="24"/>
          <w:szCs w:val="24"/>
        </w:rPr>
        <w:t>as</w:t>
      </w:r>
      <w:r w:rsidR="005E4577" w:rsidRPr="00783F18">
        <w:rPr>
          <w:rFonts w:ascii="Times New Roman" w:eastAsia="Times New Roman" w:hAnsi="Times New Roman" w:cs="Times New Roman"/>
          <w:sz w:val="24"/>
          <w:szCs w:val="24"/>
        </w:rPr>
        <w:t xml:space="preserve"> </w:t>
      </w:r>
      <w:r w:rsidRPr="00783F18">
        <w:rPr>
          <w:rFonts w:ascii="Times New Roman" w:eastAsia="Times New Roman" w:hAnsi="Times New Roman" w:cs="Times New Roman"/>
          <w:sz w:val="24"/>
          <w:szCs w:val="24"/>
        </w:rPr>
        <w:t xml:space="preserve">for benefits in section 5.  As appropriate, and if possible, describe the impact of mitigations from the Risk Mitigation Plan on the harms. Mitigations that apply to all combinations of comparators, infection/transmission rates, subgroups and scenarios can be described once in the first table and left blank in other tables. If mitigations can be described numerically, consider using scenarios to describe the risk data </w:t>
      </w:r>
      <w:r w:rsidR="005E4577">
        <w:rPr>
          <w:rFonts w:ascii="Times New Roman" w:eastAsia="Times New Roman" w:hAnsi="Times New Roman" w:cs="Times New Roman"/>
          <w:sz w:val="24"/>
          <w:szCs w:val="24"/>
        </w:rPr>
        <w:t xml:space="preserve">to characterize </w:t>
      </w:r>
      <w:r w:rsidRPr="00783F18">
        <w:rPr>
          <w:rFonts w:ascii="Times New Roman" w:eastAsia="Times New Roman" w:hAnsi="Times New Roman" w:cs="Times New Roman"/>
          <w:sz w:val="24"/>
          <w:szCs w:val="24"/>
        </w:rPr>
        <w:t>the impact of mitigation</w:t>
      </w:r>
      <w:r w:rsidR="005E4577">
        <w:rPr>
          <w:rFonts w:ascii="Times New Roman" w:eastAsia="Times New Roman" w:hAnsi="Times New Roman" w:cs="Times New Roman"/>
          <w:sz w:val="24"/>
          <w:szCs w:val="24"/>
        </w:rPr>
        <w:t>s</w:t>
      </w:r>
      <w:r w:rsidRPr="00783F18">
        <w:rPr>
          <w:rFonts w:ascii="Times New Roman" w:eastAsia="Times New Roman" w:hAnsi="Times New Roman" w:cs="Times New Roman"/>
          <w:sz w:val="24"/>
          <w:szCs w:val="24"/>
        </w:rPr>
        <w:t>.</w:t>
      </w:r>
    </w:p>
    <w:p w14:paraId="20877D89" w14:textId="26B8A164" w:rsidR="00943A61" w:rsidRPr="00783F18" w:rsidRDefault="00017C61" w:rsidP="009D7273">
      <w:pPr>
        <w:spacing w:after="0" w:line="480" w:lineRule="auto"/>
        <w:ind w:firstLine="720"/>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Summary effects tables with both benefits and risks, forest plots or other graphical depictions of the B-R data (</w:t>
      </w:r>
      <w:r w:rsidR="005D17E3" w:rsidRPr="00783F18">
        <w:rPr>
          <w:rFonts w:ascii="Times New Roman" w:eastAsia="Times New Roman" w:hAnsi="Times New Roman" w:cs="Times New Roman"/>
          <w:sz w:val="24"/>
          <w:szCs w:val="24"/>
        </w:rPr>
        <w:t>e.g.,</w:t>
      </w:r>
      <w:r w:rsidRPr="00783F18">
        <w:rPr>
          <w:rFonts w:ascii="Times New Roman" w:eastAsia="Times New Roman" w:hAnsi="Times New Roman" w:cs="Times New Roman"/>
          <w:sz w:val="24"/>
          <w:szCs w:val="24"/>
        </w:rPr>
        <w:t xml:space="preserve"> cases </w:t>
      </w:r>
      <w:r w:rsidR="005D17E3" w:rsidRPr="00783F18">
        <w:rPr>
          <w:rFonts w:ascii="Times New Roman" w:eastAsia="Times New Roman" w:hAnsi="Times New Roman" w:cs="Times New Roman"/>
          <w:sz w:val="24"/>
          <w:szCs w:val="24"/>
        </w:rPr>
        <w:t>prevented,</w:t>
      </w:r>
      <w:r w:rsidRPr="00783F18">
        <w:rPr>
          <w:rFonts w:ascii="Times New Roman" w:eastAsia="Times New Roman" w:hAnsi="Times New Roman" w:cs="Times New Roman"/>
          <w:sz w:val="24"/>
          <w:szCs w:val="24"/>
        </w:rPr>
        <w:t xml:space="preserve"> and cases caused) can be included after section 6.</w:t>
      </w:r>
    </w:p>
    <w:p w14:paraId="20877D8A" w14:textId="77777777" w:rsidR="00943A61" w:rsidRPr="009D7273" w:rsidRDefault="00017C61" w:rsidP="009D7273">
      <w:pPr>
        <w:spacing w:after="0" w:line="480" w:lineRule="auto"/>
        <w:rPr>
          <w:rFonts w:ascii="Times New Roman" w:eastAsia="Times New Roman" w:hAnsi="Times New Roman" w:cs="Times New Roman"/>
          <w:sz w:val="24"/>
          <w:szCs w:val="24"/>
          <w:highlight w:val="cyan"/>
          <w:u w:val="single"/>
        </w:rPr>
      </w:pPr>
      <w:r w:rsidRPr="009D7273">
        <w:rPr>
          <w:rFonts w:ascii="Times New Roman" w:eastAsia="Times New Roman" w:hAnsi="Times New Roman" w:cs="Times New Roman"/>
          <w:sz w:val="24"/>
          <w:szCs w:val="24"/>
          <w:u w:val="single"/>
        </w:rPr>
        <w:t>Section 7: Clinical Impact / Weighting (optional)</w:t>
      </w:r>
    </w:p>
    <w:p w14:paraId="20877D8C" w14:textId="6A663361" w:rsidR="00943A61" w:rsidRPr="00783F18" w:rsidRDefault="00D6785D" w:rsidP="00114F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114FE6">
        <w:rPr>
          <w:rFonts w:ascii="Times New Roman" w:eastAsia="Times New Roman" w:hAnsi="Times New Roman" w:cs="Times New Roman"/>
          <w:sz w:val="24"/>
          <w:szCs w:val="24"/>
        </w:rPr>
        <w:t xml:space="preserve">reference studies </w:t>
      </w:r>
      <w:r>
        <w:rPr>
          <w:rFonts w:ascii="Times New Roman" w:eastAsia="Times New Roman" w:hAnsi="Times New Roman" w:cs="Times New Roman"/>
          <w:sz w:val="24"/>
          <w:szCs w:val="24"/>
        </w:rPr>
        <w:t xml:space="preserve">can </w:t>
      </w:r>
      <w:r w:rsidR="00114FE6">
        <w:rPr>
          <w:rFonts w:ascii="Times New Roman" w:eastAsia="Times New Roman" w:hAnsi="Times New Roman" w:cs="Times New Roman"/>
          <w:sz w:val="24"/>
          <w:szCs w:val="24"/>
        </w:rPr>
        <w:t xml:space="preserve">assess the </w:t>
      </w:r>
      <w:r w:rsidR="00114FE6" w:rsidRPr="00114FE6">
        <w:rPr>
          <w:rFonts w:ascii="Times New Roman" w:eastAsia="Times New Roman" w:hAnsi="Times New Roman" w:cs="Times New Roman"/>
          <w:sz w:val="24"/>
          <w:szCs w:val="24"/>
        </w:rPr>
        <w:t xml:space="preserve">relative desirability or acceptability of </w:t>
      </w:r>
      <w:r w:rsidR="00114FE6">
        <w:rPr>
          <w:rFonts w:ascii="Times New Roman" w:eastAsia="Times New Roman" w:hAnsi="Times New Roman" w:cs="Times New Roman"/>
          <w:sz w:val="24"/>
          <w:szCs w:val="24"/>
        </w:rPr>
        <w:t xml:space="preserve">benefits and risks for </w:t>
      </w:r>
      <w:r w:rsidR="00114FE6" w:rsidRPr="00114FE6">
        <w:rPr>
          <w:rFonts w:ascii="Times New Roman" w:eastAsia="Times New Roman" w:hAnsi="Times New Roman" w:cs="Times New Roman"/>
          <w:sz w:val="24"/>
          <w:szCs w:val="24"/>
        </w:rPr>
        <w:t>alternative health interventions</w:t>
      </w:r>
      <w:r w:rsidR="00114FE6">
        <w:rPr>
          <w:rFonts w:ascii="Times New Roman" w:eastAsia="Times New Roman" w:hAnsi="Times New Roman" w:cs="Times New Roman"/>
          <w:color w:val="000000"/>
          <w:sz w:val="24"/>
          <w:szCs w:val="24"/>
          <w:vertAlign w:val="superscript"/>
        </w:rPr>
        <w:t>7</w:t>
      </w:r>
      <w:r w:rsidR="00114FE6" w:rsidRPr="00114FE6">
        <w:rPr>
          <w:rFonts w:ascii="Times New Roman" w:eastAsia="Times New Roman" w:hAnsi="Times New Roman" w:cs="Times New Roman"/>
          <w:sz w:val="24"/>
          <w:szCs w:val="24"/>
        </w:rPr>
        <w:t xml:space="preserve">. </w:t>
      </w:r>
      <w:r w:rsidR="00114FE6">
        <w:rPr>
          <w:rFonts w:ascii="Times New Roman" w:eastAsia="Times New Roman" w:hAnsi="Times New Roman" w:cs="Times New Roman"/>
          <w:sz w:val="24"/>
          <w:szCs w:val="24"/>
        </w:rPr>
        <w:t xml:space="preserve"> </w:t>
      </w:r>
      <w:r w:rsidR="00017C61" w:rsidRPr="00783F18">
        <w:rPr>
          <w:rFonts w:ascii="Times New Roman" w:eastAsia="Times New Roman" w:hAnsi="Times New Roman" w:cs="Times New Roman"/>
          <w:sz w:val="24"/>
          <w:szCs w:val="24"/>
        </w:rPr>
        <w:t xml:space="preserve">If available and relevant, </w:t>
      </w:r>
      <w:r w:rsidR="0046015F">
        <w:rPr>
          <w:rFonts w:ascii="Times New Roman" w:eastAsia="Times New Roman" w:hAnsi="Times New Roman" w:cs="Times New Roman"/>
          <w:sz w:val="24"/>
          <w:szCs w:val="24"/>
        </w:rPr>
        <w:t xml:space="preserve">optionally </w:t>
      </w:r>
      <w:r w:rsidR="00017C61" w:rsidRPr="00783F18">
        <w:rPr>
          <w:rFonts w:ascii="Times New Roman" w:eastAsia="Times New Roman" w:hAnsi="Times New Roman" w:cs="Times New Roman"/>
          <w:sz w:val="24"/>
          <w:szCs w:val="24"/>
        </w:rPr>
        <w:t>include patient or general population preference data, or other measures of the weight or clinical impact of each event (e.g., relative importance of endpoints, maximum acceptable risk</w:t>
      </w:r>
      <w:r w:rsidR="00944CA2">
        <w:rPr>
          <w:rFonts w:ascii="Times New Roman" w:eastAsia="Times New Roman" w:hAnsi="Times New Roman" w:cs="Times New Roman"/>
          <w:sz w:val="24"/>
          <w:szCs w:val="24"/>
        </w:rPr>
        <w:t xml:space="preserve"> for a given benefit</w:t>
      </w:r>
      <w:r w:rsidR="00017C61" w:rsidRPr="00783F18">
        <w:rPr>
          <w:rFonts w:ascii="Times New Roman" w:eastAsia="Times New Roman" w:hAnsi="Times New Roman" w:cs="Times New Roman"/>
          <w:sz w:val="24"/>
          <w:szCs w:val="24"/>
        </w:rPr>
        <w:t>).  If preference data is used, a report on the assessment should be attached to the completed module.</w:t>
      </w:r>
    </w:p>
    <w:p w14:paraId="20877D8D" w14:textId="77777777" w:rsidR="00943A61" w:rsidRPr="009D7273" w:rsidRDefault="00017C61" w:rsidP="009D7273">
      <w:pPr>
        <w:spacing w:after="0" w:line="480" w:lineRule="auto"/>
        <w:rPr>
          <w:rFonts w:ascii="Times New Roman" w:eastAsia="Times New Roman" w:hAnsi="Times New Roman" w:cs="Times New Roman"/>
          <w:sz w:val="24"/>
          <w:szCs w:val="24"/>
          <w:u w:val="single"/>
        </w:rPr>
      </w:pPr>
      <w:r w:rsidRPr="009D7273">
        <w:rPr>
          <w:rFonts w:ascii="Times New Roman" w:eastAsia="Times New Roman" w:hAnsi="Times New Roman" w:cs="Times New Roman"/>
          <w:sz w:val="24"/>
          <w:szCs w:val="24"/>
          <w:u w:val="single"/>
        </w:rPr>
        <w:t>Section 8: Integrated B-R Assessment</w:t>
      </w:r>
    </w:p>
    <w:p w14:paraId="20877D8E" w14:textId="3503C75E" w:rsidR="00943A61" w:rsidRPr="00783F18" w:rsidRDefault="00017C61" w:rsidP="009D7273">
      <w:pPr>
        <w:spacing w:after="0" w:line="480" w:lineRule="auto"/>
        <w:ind w:firstLine="720"/>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 xml:space="preserve">Using the information and evidence in all prior sections, provide a cogent, transparent, defensible </w:t>
      </w:r>
      <w:r w:rsidR="00643210">
        <w:rPr>
          <w:rFonts w:ascii="Times New Roman" w:eastAsia="Times New Roman" w:hAnsi="Times New Roman" w:cs="Times New Roman"/>
          <w:sz w:val="24"/>
          <w:szCs w:val="24"/>
        </w:rPr>
        <w:t xml:space="preserve">qualitative </w:t>
      </w:r>
      <w:r w:rsidRPr="00783F18">
        <w:rPr>
          <w:rFonts w:ascii="Times New Roman" w:eastAsia="Times New Roman" w:hAnsi="Times New Roman" w:cs="Times New Roman"/>
          <w:sz w:val="24"/>
          <w:szCs w:val="24"/>
        </w:rPr>
        <w:t xml:space="preserve">assessment of whether benefits outweigh risks.  If appropriate, use tabular and graphical summaries of benefits and risks that show cases prevented and cases caused for all key benefits and risks.  When this module is being used to plan for a B-R assessment, ideally include mock ups of the planned tables and figures. When </w:t>
      </w:r>
      <w:r w:rsidRPr="00783F18">
        <w:rPr>
          <w:rFonts w:ascii="Times New Roman" w:eastAsia="Times New Roman" w:hAnsi="Times New Roman" w:cs="Times New Roman"/>
          <w:sz w:val="24"/>
          <w:szCs w:val="24"/>
        </w:rPr>
        <w:lastRenderedPageBreak/>
        <w:t>this module is used to conduct a B-R assessment, these displays will be populated with the data from sections 5 and 6.</w:t>
      </w:r>
    </w:p>
    <w:p w14:paraId="567B1721" w14:textId="785B0C22" w:rsidR="00362430" w:rsidRDefault="00017C61" w:rsidP="009963CE">
      <w:pPr>
        <w:spacing w:after="0" w:line="480" w:lineRule="auto"/>
        <w:ind w:firstLine="720"/>
        <w:rPr>
          <w:rFonts w:ascii="Times New Roman" w:eastAsia="Times New Roman" w:hAnsi="Times New Roman" w:cs="Times New Roman"/>
          <w:sz w:val="24"/>
          <w:szCs w:val="24"/>
          <w:vertAlign w:val="superscript"/>
        </w:rPr>
      </w:pPr>
      <w:r w:rsidRPr="00783F18">
        <w:rPr>
          <w:rFonts w:ascii="Times New Roman" w:eastAsia="Times New Roman" w:hAnsi="Times New Roman" w:cs="Times New Roman"/>
          <w:sz w:val="24"/>
          <w:szCs w:val="24"/>
        </w:rPr>
        <w:t xml:space="preserve">Account specially for the severity of the condition, the current unmet medical need, strength of evidence, and statistical and other uncertainties. Also include the acknowledged limitations of the B-R evaluation, specifying, as much as possible, which potential risks and benefits could not be considered and the reasons why. If appropriate, </w:t>
      </w:r>
      <w:r w:rsidR="00875294">
        <w:rPr>
          <w:rFonts w:ascii="Times New Roman" w:eastAsia="Times New Roman" w:hAnsi="Times New Roman" w:cs="Times New Roman"/>
          <w:sz w:val="24"/>
          <w:szCs w:val="24"/>
        </w:rPr>
        <w:t>a regulatory</w:t>
      </w:r>
      <w:r w:rsidRPr="00783F18">
        <w:rPr>
          <w:rFonts w:ascii="Times New Roman" w:eastAsia="Times New Roman" w:hAnsi="Times New Roman" w:cs="Times New Roman"/>
          <w:sz w:val="24"/>
          <w:szCs w:val="24"/>
        </w:rPr>
        <w:t xml:space="preserve"> benefit-risk framework can be used to structure the integrated B-R assessment</w:t>
      </w:r>
      <w:r w:rsidR="00E93281" w:rsidRPr="00783F18">
        <w:rPr>
          <w:rFonts w:ascii="Times New Roman" w:eastAsia="Times New Roman" w:hAnsi="Times New Roman" w:cs="Times New Roman"/>
          <w:sz w:val="24"/>
          <w:szCs w:val="24"/>
        </w:rPr>
        <w:t>.</w:t>
      </w:r>
      <w:r w:rsidR="00BE5BE4" w:rsidRPr="00BE5BE4">
        <w:rPr>
          <w:rFonts w:ascii="Times New Roman" w:eastAsia="Times New Roman" w:hAnsi="Times New Roman" w:cs="Times New Roman"/>
          <w:sz w:val="24"/>
          <w:szCs w:val="24"/>
          <w:vertAlign w:val="superscript"/>
        </w:rPr>
        <w:t>11</w:t>
      </w:r>
    </w:p>
    <w:p w14:paraId="78BA3A4E" w14:textId="77777777" w:rsidR="00D60AED" w:rsidRDefault="00D60AED" w:rsidP="00D60AED">
      <w:pPr>
        <w:spacing w:after="0" w:line="480" w:lineRule="auto"/>
        <w:jc w:val="both"/>
        <w:rPr>
          <w:rFonts w:ascii="Times New Roman" w:eastAsia="Times New Roman" w:hAnsi="Times New Roman" w:cs="Times New Roman"/>
          <w:b/>
          <w:sz w:val="24"/>
          <w:szCs w:val="24"/>
        </w:rPr>
      </w:pPr>
    </w:p>
    <w:p w14:paraId="7BB7EE90" w14:textId="1A384378" w:rsidR="00D60AED" w:rsidRDefault="00D60AED" w:rsidP="00D60AED">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Limitations</w:t>
      </w:r>
    </w:p>
    <w:p w14:paraId="7B883B1E" w14:textId="32ED1014" w:rsidR="00F72E91" w:rsidRDefault="00D60AED" w:rsidP="001E2F1F">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bCs/>
          <w:sz w:val="24"/>
          <w:szCs w:val="24"/>
        </w:rPr>
        <w:t>Th</w:t>
      </w:r>
      <w:r w:rsidR="00AF4769">
        <w:rPr>
          <w:rFonts w:ascii="Times New Roman" w:eastAsia="Times New Roman" w:hAnsi="Times New Roman" w:cs="Times New Roman"/>
          <w:bCs/>
          <w:sz w:val="24"/>
          <w:szCs w:val="24"/>
        </w:rPr>
        <w:t xml:space="preserve">is paper describes the first release </w:t>
      </w:r>
      <w:r w:rsidR="00FB7FD0">
        <w:rPr>
          <w:rFonts w:ascii="Times New Roman" w:eastAsia="Times New Roman" w:hAnsi="Times New Roman" w:cs="Times New Roman"/>
          <w:bCs/>
          <w:sz w:val="24"/>
          <w:szCs w:val="24"/>
        </w:rPr>
        <w:t xml:space="preserve">of the </w:t>
      </w:r>
      <w:r w:rsidR="00AF4769">
        <w:rPr>
          <w:rFonts w:ascii="Times New Roman" w:eastAsia="Times New Roman" w:hAnsi="Times New Roman" w:cs="Times New Roman"/>
          <w:bCs/>
          <w:sz w:val="24"/>
          <w:szCs w:val="24"/>
        </w:rPr>
        <w:t xml:space="preserve">Brighton vaccine B-R module.  </w:t>
      </w:r>
      <w:r w:rsidR="00F6049B">
        <w:rPr>
          <w:rFonts w:ascii="Times New Roman" w:eastAsia="Times New Roman" w:hAnsi="Times New Roman" w:cs="Times New Roman"/>
          <w:bCs/>
          <w:sz w:val="24"/>
          <w:szCs w:val="24"/>
        </w:rPr>
        <w:t>The module</w:t>
      </w:r>
      <w:r w:rsidR="00AF4769">
        <w:rPr>
          <w:rFonts w:ascii="Times New Roman" w:eastAsia="Times New Roman" w:hAnsi="Times New Roman" w:cs="Times New Roman"/>
          <w:bCs/>
          <w:sz w:val="24"/>
          <w:szCs w:val="24"/>
        </w:rPr>
        <w:t xml:space="preserve"> accommodates a wide range of deterministic vaccine B-R approaches with accompanying sensitivity analyses</w:t>
      </w:r>
      <w:r w:rsidR="00F6049B">
        <w:rPr>
          <w:rFonts w:ascii="Times New Roman" w:eastAsia="Times New Roman" w:hAnsi="Times New Roman" w:cs="Times New Roman"/>
          <w:bCs/>
          <w:sz w:val="24"/>
          <w:szCs w:val="24"/>
        </w:rPr>
        <w:t xml:space="preserve">.  </w:t>
      </w:r>
      <w:r w:rsidR="00AB5A04">
        <w:rPr>
          <w:rFonts w:ascii="Times New Roman" w:eastAsia="Times New Roman" w:hAnsi="Times New Roman" w:cs="Times New Roman"/>
          <w:bCs/>
          <w:sz w:val="24"/>
          <w:szCs w:val="24"/>
        </w:rPr>
        <w:t>However, t</w:t>
      </w:r>
      <w:r w:rsidR="00F6049B">
        <w:rPr>
          <w:rFonts w:ascii="Times New Roman" w:eastAsia="Times New Roman" w:hAnsi="Times New Roman" w:cs="Times New Roman"/>
          <w:bCs/>
          <w:sz w:val="24"/>
          <w:szCs w:val="24"/>
        </w:rPr>
        <w:t xml:space="preserve">he module does not specifically support </w:t>
      </w:r>
      <w:r w:rsidR="00AF4769">
        <w:rPr>
          <w:rFonts w:ascii="Times New Roman" w:eastAsia="Times New Roman" w:hAnsi="Times New Roman" w:cs="Times New Roman"/>
          <w:bCs/>
          <w:sz w:val="24"/>
          <w:szCs w:val="24"/>
        </w:rPr>
        <w:t xml:space="preserve">probabilistic </w:t>
      </w:r>
      <w:r w:rsidR="00F6049B">
        <w:rPr>
          <w:rFonts w:ascii="Times New Roman" w:eastAsia="Times New Roman" w:hAnsi="Times New Roman" w:cs="Times New Roman"/>
          <w:bCs/>
          <w:sz w:val="24"/>
          <w:szCs w:val="24"/>
        </w:rPr>
        <w:t>approaches</w:t>
      </w:r>
      <w:r w:rsidR="00174D41">
        <w:rPr>
          <w:rFonts w:ascii="Times New Roman" w:eastAsia="Times New Roman" w:hAnsi="Times New Roman" w:cs="Times New Roman"/>
          <w:bCs/>
          <w:sz w:val="24"/>
          <w:szCs w:val="24"/>
        </w:rPr>
        <w:t>, simulations</w:t>
      </w:r>
      <w:r w:rsidR="00F6049B">
        <w:rPr>
          <w:rFonts w:ascii="Times New Roman" w:eastAsia="Times New Roman" w:hAnsi="Times New Roman" w:cs="Times New Roman"/>
          <w:bCs/>
          <w:sz w:val="24"/>
          <w:szCs w:val="24"/>
        </w:rPr>
        <w:t xml:space="preserve"> or </w:t>
      </w:r>
      <w:r w:rsidR="00174D41">
        <w:rPr>
          <w:rFonts w:ascii="Times New Roman" w:eastAsia="Times New Roman" w:hAnsi="Times New Roman" w:cs="Times New Roman"/>
          <w:bCs/>
          <w:sz w:val="24"/>
          <w:szCs w:val="24"/>
        </w:rPr>
        <w:t>transmission dynamics</w:t>
      </w:r>
      <w:r w:rsidR="00F6049B">
        <w:rPr>
          <w:rFonts w:ascii="Times New Roman" w:eastAsia="Times New Roman" w:hAnsi="Times New Roman" w:cs="Times New Roman"/>
          <w:bCs/>
          <w:sz w:val="24"/>
          <w:szCs w:val="24"/>
        </w:rPr>
        <w:t xml:space="preserve"> models</w:t>
      </w:r>
      <w:r w:rsidR="00243E3C">
        <w:rPr>
          <w:rFonts w:ascii="Times New Roman" w:eastAsia="Times New Roman" w:hAnsi="Times New Roman" w:cs="Times New Roman"/>
          <w:bCs/>
          <w:sz w:val="24"/>
          <w:szCs w:val="24"/>
        </w:rPr>
        <w:t xml:space="preserve">.  </w:t>
      </w:r>
      <w:r w:rsidR="00F6049B">
        <w:rPr>
          <w:rFonts w:ascii="Times New Roman" w:hAnsi="Times New Roman" w:cs="Times New Roman"/>
          <w:sz w:val="24"/>
          <w:szCs w:val="24"/>
        </w:rPr>
        <w:t xml:space="preserve">Such </w:t>
      </w:r>
      <w:r w:rsidR="00054343">
        <w:rPr>
          <w:rFonts w:ascii="Times New Roman" w:hAnsi="Times New Roman" w:cs="Times New Roman"/>
          <w:sz w:val="24"/>
          <w:szCs w:val="24"/>
        </w:rPr>
        <w:t>approaches</w:t>
      </w:r>
      <w:r w:rsidR="00F6049B">
        <w:rPr>
          <w:rFonts w:ascii="Times New Roman" w:hAnsi="Times New Roman" w:cs="Times New Roman"/>
          <w:sz w:val="24"/>
          <w:szCs w:val="24"/>
        </w:rPr>
        <w:t xml:space="preserve"> </w:t>
      </w:r>
      <w:r w:rsidR="00AF4769" w:rsidRPr="00783F18">
        <w:rPr>
          <w:rFonts w:ascii="Times New Roman" w:hAnsi="Times New Roman" w:cs="Times New Roman"/>
          <w:sz w:val="24"/>
          <w:szCs w:val="24"/>
        </w:rPr>
        <w:t>can include reduced transmission due to herd immunity, limited vaccine uptake due to storage limitations, distribution challenges, vaccine hesitancy, the effects of alternative strategies (e.g., lockdowns)</w:t>
      </w:r>
      <w:r w:rsidR="00AB5A04">
        <w:rPr>
          <w:rFonts w:ascii="Times New Roman" w:hAnsi="Times New Roman" w:cs="Times New Roman"/>
          <w:sz w:val="24"/>
          <w:szCs w:val="24"/>
        </w:rPr>
        <w:t xml:space="preserve"> </w:t>
      </w:r>
      <w:r w:rsidR="00AF4769" w:rsidRPr="00783F18">
        <w:rPr>
          <w:rFonts w:ascii="Times New Roman" w:hAnsi="Times New Roman" w:cs="Times New Roman"/>
          <w:sz w:val="24"/>
          <w:szCs w:val="24"/>
        </w:rPr>
        <w:t xml:space="preserve">especially on subgroups such as children and the elderly, etc. </w:t>
      </w:r>
      <w:r w:rsidR="009E1BB0">
        <w:rPr>
          <w:rFonts w:ascii="Times New Roman" w:hAnsi="Times New Roman" w:cs="Times New Roman"/>
          <w:sz w:val="24"/>
          <w:szCs w:val="24"/>
        </w:rPr>
        <w:t xml:space="preserve"> </w:t>
      </w:r>
      <w:r w:rsidR="0080572E">
        <w:rPr>
          <w:rFonts w:ascii="Times New Roman" w:hAnsi="Times New Roman" w:cs="Times New Roman"/>
          <w:sz w:val="24"/>
          <w:szCs w:val="24"/>
        </w:rPr>
        <w:t xml:space="preserve">Use of such models </w:t>
      </w:r>
      <w:r w:rsidR="009E1BB0">
        <w:rPr>
          <w:rFonts w:ascii="Times New Roman" w:hAnsi="Times New Roman" w:cs="Times New Roman"/>
          <w:sz w:val="24"/>
          <w:szCs w:val="24"/>
        </w:rPr>
        <w:t>is</w:t>
      </w:r>
      <w:r w:rsidR="00A02373">
        <w:rPr>
          <w:rFonts w:ascii="Times New Roman" w:hAnsi="Times New Roman" w:cs="Times New Roman"/>
          <w:sz w:val="24"/>
          <w:szCs w:val="24"/>
        </w:rPr>
        <w:t xml:space="preserve"> not always required and </w:t>
      </w:r>
      <w:r w:rsidR="009E1BB0">
        <w:rPr>
          <w:rFonts w:ascii="Times New Roman" w:hAnsi="Times New Roman" w:cs="Times New Roman"/>
          <w:sz w:val="24"/>
          <w:szCs w:val="24"/>
        </w:rPr>
        <w:t>is</w:t>
      </w:r>
      <w:r w:rsidR="0080572E">
        <w:rPr>
          <w:rFonts w:ascii="Times New Roman" w:hAnsi="Times New Roman" w:cs="Times New Roman"/>
          <w:sz w:val="24"/>
          <w:szCs w:val="24"/>
        </w:rPr>
        <w:t xml:space="preserve"> at the discretion of the analyst.  </w:t>
      </w:r>
      <w:r w:rsidR="00AF4769" w:rsidRPr="00783F18">
        <w:rPr>
          <w:rFonts w:ascii="Times New Roman" w:hAnsi="Times New Roman" w:cs="Times New Roman"/>
          <w:sz w:val="24"/>
          <w:szCs w:val="24"/>
        </w:rPr>
        <w:t xml:space="preserve">If such models are used in </w:t>
      </w:r>
      <w:r w:rsidR="00A02373">
        <w:rPr>
          <w:rFonts w:ascii="Times New Roman" w:hAnsi="Times New Roman" w:cs="Times New Roman"/>
          <w:sz w:val="24"/>
          <w:szCs w:val="24"/>
        </w:rPr>
        <w:t>a</w:t>
      </w:r>
      <w:r w:rsidR="00AF4769" w:rsidRPr="00783F18">
        <w:rPr>
          <w:rFonts w:ascii="Times New Roman" w:hAnsi="Times New Roman" w:cs="Times New Roman"/>
          <w:sz w:val="24"/>
          <w:szCs w:val="24"/>
        </w:rPr>
        <w:t xml:space="preserve"> B-R assessment, they can be described qualitatively with the model(s) included in an appendix to this module.</w:t>
      </w:r>
      <w:r w:rsidR="004B2CD4">
        <w:rPr>
          <w:rFonts w:ascii="Times New Roman" w:hAnsi="Times New Roman" w:cs="Times New Roman"/>
          <w:sz w:val="24"/>
          <w:szCs w:val="24"/>
        </w:rPr>
        <w:t xml:space="preserve">  </w:t>
      </w:r>
    </w:p>
    <w:p w14:paraId="6C0A218D" w14:textId="3FB381A2" w:rsidR="003E4408" w:rsidRDefault="004B2CD4" w:rsidP="00B706B2">
      <w:pPr>
        <w:spacing w:after="0"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There are also numerous tabular and graphical means with which vaccine B-R data can be displayed</w:t>
      </w:r>
      <w:r w:rsidR="00AB5A04">
        <w:rPr>
          <w:rFonts w:ascii="Times New Roman" w:hAnsi="Times New Roman" w:cs="Times New Roman"/>
          <w:sz w:val="24"/>
          <w:szCs w:val="24"/>
        </w:rPr>
        <w:t xml:space="preserve">.  The current module </w:t>
      </w:r>
      <w:r w:rsidR="00FB7FD0">
        <w:rPr>
          <w:rFonts w:ascii="Times New Roman" w:hAnsi="Times New Roman" w:cs="Times New Roman"/>
          <w:sz w:val="24"/>
          <w:szCs w:val="24"/>
        </w:rPr>
        <w:t xml:space="preserve">does not </w:t>
      </w:r>
      <w:r w:rsidR="00AB5A04">
        <w:rPr>
          <w:rFonts w:ascii="Times New Roman" w:hAnsi="Times New Roman" w:cs="Times New Roman"/>
          <w:sz w:val="24"/>
          <w:szCs w:val="24"/>
        </w:rPr>
        <w:t>provide guidance on these displays</w:t>
      </w:r>
      <w:r>
        <w:rPr>
          <w:rFonts w:ascii="Times New Roman" w:hAnsi="Times New Roman" w:cs="Times New Roman"/>
          <w:sz w:val="24"/>
          <w:szCs w:val="24"/>
        </w:rPr>
        <w:t xml:space="preserve">.  </w:t>
      </w:r>
      <w:r w:rsidR="00A02373">
        <w:rPr>
          <w:rFonts w:ascii="Times New Roman" w:hAnsi="Times New Roman" w:cs="Times New Roman"/>
          <w:sz w:val="24"/>
          <w:szCs w:val="24"/>
        </w:rPr>
        <w:t>Th</w:t>
      </w:r>
      <w:r>
        <w:rPr>
          <w:rFonts w:ascii="Times New Roman" w:hAnsi="Times New Roman" w:cs="Times New Roman"/>
          <w:sz w:val="24"/>
          <w:szCs w:val="24"/>
        </w:rPr>
        <w:t xml:space="preserve">e </w:t>
      </w:r>
      <w:r w:rsidRPr="00783F18">
        <w:rPr>
          <w:rFonts w:ascii="Times New Roman" w:eastAsia="Times New Roman" w:hAnsi="Times New Roman" w:cs="Times New Roman"/>
          <w:sz w:val="24"/>
          <w:szCs w:val="24"/>
        </w:rPr>
        <w:t>accompanying interactive visualization too</w:t>
      </w:r>
      <w:r w:rsidR="00AB5A04">
        <w:rPr>
          <w:rFonts w:ascii="Times New Roman" w:eastAsia="Times New Roman" w:hAnsi="Times New Roman" w:cs="Times New Roman"/>
          <w:sz w:val="24"/>
          <w:szCs w:val="24"/>
        </w:rPr>
        <w:t>l supports a variety of effects tables, forest plots and related displays.</w:t>
      </w:r>
    </w:p>
    <w:p w14:paraId="7E45BF06" w14:textId="77777777" w:rsidR="006C1F9F" w:rsidRDefault="006C1F9F" w:rsidP="00174D41">
      <w:pPr>
        <w:spacing w:after="0" w:line="480" w:lineRule="auto"/>
        <w:jc w:val="both"/>
        <w:rPr>
          <w:rFonts w:ascii="Times New Roman" w:eastAsia="Times New Roman" w:hAnsi="Times New Roman" w:cs="Times New Roman"/>
          <w:b/>
          <w:sz w:val="24"/>
          <w:szCs w:val="24"/>
        </w:rPr>
      </w:pPr>
    </w:p>
    <w:p w14:paraId="2168997E" w14:textId="77777777" w:rsidR="006C1F9F" w:rsidRDefault="006C1F9F" w:rsidP="00174D41">
      <w:pPr>
        <w:spacing w:after="0" w:line="480" w:lineRule="auto"/>
        <w:jc w:val="both"/>
        <w:rPr>
          <w:rFonts w:ascii="Times New Roman" w:eastAsia="Times New Roman" w:hAnsi="Times New Roman" w:cs="Times New Roman"/>
          <w:b/>
          <w:sz w:val="24"/>
          <w:szCs w:val="24"/>
        </w:rPr>
      </w:pPr>
    </w:p>
    <w:p w14:paraId="180ABE6D" w14:textId="54BE3E4B" w:rsidR="00174D41" w:rsidRDefault="00174D41" w:rsidP="00174D41">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Conclusions</w:t>
      </w:r>
    </w:p>
    <w:p w14:paraId="7666F206" w14:textId="01477BFA" w:rsidR="00A936A1" w:rsidRDefault="008D4BD0" w:rsidP="00B706B2">
      <w:pPr>
        <w:spacing w:after="0"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Recent advanced in the </w:t>
      </w:r>
      <w:r w:rsidR="00A936A1">
        <w:rPr>
          <w:rFonts w:ascii="Times New Roman" w:eastAsia="Times New Roman" w:hAnsi="Times New Roman" w:cs="Times New Roman"/>
          <w:bCs/>
          <w:sz w:val="24"/>
          <w:szCs w:val="24"/>
        </w:rPr>
        <w:t xml:space="preserve">field of benefit-risk assessment are increasingly being applied to vaccines.  The </w:t>
      </w:r>
      <w:r w:rsidR="00174D41">
        <w:rPr>
          <w:rFonts w:ascii="Times New Roman" w:eastAsia="Times New Roman" w:hAnsi="Times New Roman" w:cs="Times New Roman"/>
          <w:bCs/>
          <w:sz w:val="24"/>
          <w:szCs w:val="24"/>
        </w:rPr>
        <w:t>Brighton vaccine B-R module</w:t>
      </w:r>
      <w:r w:rsidR="00A936A1">
        <w:rPr>
          <w:rFonts w:ascii="Times New Roman" w:eastAsia="Times New Roman" w:hAnsi="Times New Roman" w:cs="Times New Roman"/>
          <w:bCs/>
          <w:sz w:val="24"/>
          <w:szCs w:val="24"/>
        </w:rPr>
        <w:t xml:space="preserve"> supports planning, conducting and reporting </w:t>
      </w:r>
      <w:r>
        <w:rPr>
          <w:rFonts w:ascii="Times New Roman" w:eastAsia="Times New Roman" w:hAnsi="Times New Roman" w:cs="Times New Roman"/>
          <w:bCs/>
          <w:sz w:val="24"/>
          <w:szCs w:val="24"/>
        </w:rPr>
        <w:t xml:space="preserve">structured vaccine B-R assessments.  With the use of this module, the Brighton Collaboration hopes to </w:t>
      </w:r>
      <w:r w:rsidR="00A936A1" w:rsidRPr="00783F18">
        <w:rPr>
          <w:rFonts w:ascii="Times New Roman" w:eastAsia="Times New Roman" w:hAnsi="Times New Roman" w:cs="Times New Roman"/>
          <w:color w:val="000000"/>
          <w:sz w:val="24"/>
          <w:szCs w:val="24"/>
        </w:rPr>
        <w:t xml:space="preserve">speed </w:t>
      </w:r>
      <w:r>
        <w:rPr>
          <w:rFonts w:ascii="Times New Roman" w:eastAsia="Times New Roman" w:hAnsi="Times New Roman" w:cs="Times New Roman"/>
          <w:color w:val="000000"/>
          <w:sz w:val="24"/>
          <w:szCs w:val="24"/>
        </w:rPr>
        <w:t xml:space="preserve">vaccine </w:t>
      </w:r>
      <w:r w:rsidR="00A936A1" w:rsidRPr="00783F18">
        <w:rPr>
          <w:rFonts w:ascii="Times New Roman" w:eastAsia="Times New Roman" w:hAnsi="Times New Roman" w:cs="Times New Roman"/>
          <w:color w:val="000000"/>
          <w:sz w:val="24"/>
          <w:szCs w:val="24"/>
        </w:rPr>
        <w:t xml:space="preserve">decisions, mitigate risks, provide transparency, simplify B-R communication and improve trust in the vaccine development and review process.  </w:t>
      </w:r>
    </w:p>
    <w:p w14:paraId="0A2A849B" w14:textId="77777777" w:rsidR="001E2F1F" w:rsidRDefault="001E2F1F" w:rsidP="009D7273">
      <w:pPr>
        <w:spacing w:after="0" w:line="480" w:lineRule="auto"/>
        <w:jc w:val="both"/>
        <w:rPr>
          <w:rFonts w:ascii="Times New Roman" w:hAnsi="Times New Roman" w:cs="Times New Roman"/>
          <w:sz w:val="24"/>
          <w:szCs w:val="24"/>
        </w:rPr>
      </w:pPr>
    </w:p>
    <w:p w14:paraId="6FFDAC5D" w14:textId="77777777" w:rsidR="00362430" w:rsidRPr="00783F18" w:rsidRDefault="00362430" w:rsidP="009D7273">
      <w:pPr>
        <w:spacing w:after="0" w:line="480" w:lineRule="auto"/>
        <w:jc w:val="both"/>
        <w:rPr>
          <w:rFonts w:ascii="Times New Roman" w:eastAsia="Times New Roman" w:hAnsi="Times New Roman" w:cs="Times New Roman"/>
          <w:sz w:val="24"/>
          <w:szCs w:val="24"/>
        </w:rPr>
      </w:pPr>
      <w:r w:rsidRPr="00783F18">
        <w:rPr>
          <w:rFonts w:ascii="Times New Roman" w:eastAsia="Times New Roman" w:hAnsi="Times New Roman" w:cs="Times New Roman"/>
          <w:b/>
          <w:sz w:val="24"/>
          <w:szCs w:val="24"/>
        </w:rPr>
        <w:t>Disclaimer:</w:t>
      </w:r>
      <w:r w:rsidRPr="00783F18">
        <w:rPr>
          <w:rFonts w:ascii="Times New Roman" w:eastAsia="Times New Roman" w:hAnsi="Times New Roman" w:cs="Times New Roman"/>
          <w:sz w:val="24"/>
          <w:szCs w:val="24"/>
        </w:rPr>
        <w:t xml:space="preserve"> </w:t>
      </w:r>
    </w:p>
    <w:p w14:paraId="6BC40442" w14:textId="03D8DAA8" w:rsidR="009D7273" w:rsidRPr="00783F18" w:rsidRDefault="00362430" w:rsidP="00C80A7D">
      <w:pPr>
        <w:spacing w:after="0" w:line="480" w:lineRule="auto"/>
        <w:ind w:firstLine="720"/>
        <w:jc w:val="both"/>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The findings, opinions and assertions contained in this consensus document are those of the individual scientific professional members of the working group. They do not necessarily represent the official positions of each participant’s organization. Specifically, the findings and conclusions in this paper are those of the authors and do not necessarily represent the views of their respective institutions.</w:t>
      </w:r>
      <w:bookmarkStart w:id="4" w:name="bookmark=id.30j0zll" w:colFirst="0" w:colLast="0"/>
      <w:bookmarkEnd w:id="4"/>
    </w:p>
    <w:p w14:paraId="67B7EB94" w14:textId="77777777" w:rsidR="001E2F1F" w:rsidRDefault="001E2F1F" w:rsidP="009D7273">
      <w:pPr>
        <w:pStyle w:val="Heading1"/>
        <w:spacing w:before="0" w:line="480" w:lineRule="auto"/>
        <w:jc w:val="both"/>
        <w:rPr>
          <w:rFonts w:ascii="Times New Roman" w:eastAsia="Times New Roman" w:hAnsi="Times New Roman" w:cs="Times New Roman"/>
          <w:b/>
          <w:color w:val="000000"/>
          <w:sz w:val="24"/>
          <w:szCs w:val="24"/>
        </w:rPr>
      </w:pPr>
    </w:p>
    <w:p w14:paraId="20877D91" w14:textId="3347E20D" w:rsidR="00943A61" w:rsidRPr="00783F18" w:rsidRDefault="00017C61" w:rsidP="009D7273">
      <w:pPr>
        <w:pStyle w:val="Heading1"/>
        <w:spacing w:before="0" w:line="480" w:lineRule="auto"/>
        <w:jc w:val="both"/>
        <w:rPr>
          <w:rFonts w:ascii="Times New Roman" w:eastAsia="Times New Roman" w:hAnsi="Times New Roman" w:cs="Times New Roman"/>
          <w:b/>
          <w:color w:val="000000"/>
          <w:sz w:val="24"/>
          <w:szCs w:val="24"/>
        </w:rPr>
      </w:pPr>
      <w:r w:rsidRPr="00783F18">
        <w:rPr>
          <w:rFonts w:ascii="Times New Roman" w:eastAsia="Times New Roman" w:hAnsi="Times New Roman" w:cs="Times New Roman"/>
          <w:b/>
          <w:color w:val="000000"/>
          <w:sz w:val="24"/>
          <w:szCs w:val="24"/>
        </w:rPr>
        <w:t>Acknowledgements</w:t>
      </w:r>
    </w:p>
    <w:p w14:paraId="235137DA" w14:textId="43AB8A4C" w:rsidR="007F6DE6" w:rsidRDefault="00017C61" w:rsidP="00C80A7D">
      <w:pPr>
        <w:spacing w:after="0" w:line="480" w:lineRule="auto"/>
        <w:ind w:firstLine="720"/>
        <w:rPr>
          <w:rFonts w:ascii="Times New Roman" w:eastAsia="Times New Roman" w:hAnsi="Times New Roman" w:cs="Times New Roman"/>
          <w:sz w:val="24"/>
          <w:szCs w:val="24"/>
        </w:rPr>
      </w:pPr>
      <w:r w:rsidRPr="00783F18">
        <w:rPr>
          <w:rFonts w:ascii="Times New Roman" w:eastAsia="Times New Roman" w:hAnsi="Times New Roman" w:cs="Times New Roman"/>
          <w:sz w:val="24"/>
          <w:szCs w:val="24"/>
        </w:rPr>
        <w:t xml:space="preserve">The authors are grateful for the support and very helpful comments provided by the </w:t>
      </w:r>
      <w:r w:rsidR="00C80A7D">
        <w:rPr>
          <w:rFonts w:ascii="Times New Roman" w:eastAsia="Times New Roman" w:hAnsi="Times New Roman" w:cs="Times New Roman"/>
          <w:sz w:val="24"/>
          <w:szCs w:val="24"/>
        </w:rPr>
        <w:t>Brighton Collaboration Benefit-Risk Working Group</w:t>
      </w:r>
      <w:r w:rsidR="0086570E">
        <w:rPr>
          <w:rFonts w:ascii="Times New Roman" w:eastAsia="Times New Roman" w:hAnsi="Times New Roman" w:cs="Times New Roman"/>
          <w:sz w:val="24"/>
          <w:szCs w:val="24"/>
        </w:rPr>
        <w:t xml:space="preserve"> and others consulted in the process</w:t>
      </w:r>
      <w:r w:rsidR="007F6DE6">
        <w:rPr>
          <w:rFonts w:ascii="Times New Roman" w:eastAsia="Times New Roman" w:hAnsi="Times New Roman" w:cs="Times New Roman"/>
          <w:sz w:val="24"/>
          <w:szCs w:val="24"/>
        </w:rPr>
        <w:t xml:space="preserve">, including </w:t>
      </w:r>
      <w:r w:rsidR="004C2BD7" w:rsidRPr="007F6DE6">
        <w:rPr>
          <w:rFonts w:ascii="Times New Roman" w:eastAsia="Times New Roman" w:hAnsi="Times New Roman" w:cs="Times New Roman"/>
          <w:sz w:val="24"/>
          <w:szCs w:val="24"/>
        </w:rPr>
        <w:t xml:space="preserve">Nicolas Praet, Claire Newbern, </w:t>
      </w:r>
      <w:r w:rsidR="0086570E" w:rsidRPr="007F6DE6">
        <w:rPr>
          <w:rFonts w:ascii="Times New Roman" w:eastAsia="Times New Roman" w:hAnsi="Times New Roman" w:cs="Times New Roman"/>
          <w:sz w:val="24"/>
          <w:szCs w:val="24"/>
        </w:rPr>
        <w:t>Nicole Baker</w:t>
      </w:r>
      <w:r w:rsidR="0086570E">
        <w:rPr>
          <w:rFonts w:ascii="Times New Roman" w:eastAsia="Times New Roman" w:hAnsi="Times New Roman" w:cs="Times New Roman"/>
          <w:sz w:val="24"/>
          <w:szCs w:val="24"/>
        </w:rPr>
        <w:t xml:space="preserve">, Christopher Mast, Emalee Martin, </w:t>
      </w:r>
      <w:r w:rsidR="0086570E" w:rsidRPr="007F6DE6">
        <w:rPr>
          <w:rFonts w:ascii="Times New Roman" w:eastAsia="Times New Roman" w:hAnsi="Times New Roman" w:cs="Times New Roman"/>
          <w:sz w:val="24"/>
          <w:szCs w:val="24"/>
        </w:rPr>
        <w:t>Kaatje Bollaerts</w:t>
      </w:r>
      <w:r w:rsidR="0038009E">
        <w:rPr>
          <w:rFonts w:ascii="Times New Roman" w:eastAsia="Times New Roman" w:hAnsi="Times New Roman" w:cs="Times New Roman"/>
          <w:sz w:val="24"/>
          <w:szCs w:val="24"/>
        </w:rPr>
        <w:t xml:space="preserve"> and</w:t>
      </w:r>
      <w:r w:rsidR="0086570E">
        <w:rPr>
          <w:rFonts w:ascii="Times New Roman" w:eastAsia="Times New Roman" w:hAnsi="Times New Roman" w:cs="Times New Roman"/>
          <w:sz w:val="24"/>
          <w:szCs w:val="24"/>
        </w:rPr>
        <w:t xml:space="preserve"> </w:t>
      </w:r>
      <w:r w:rsidR="007F6DE6" w:rsidRPr="007F6DE6">
        <w:rPr>
          <w:rFonts w:ascii="Times New Roman" w:eastAsia="Times New Roman" w:hAnsi="Times New Roman" w:cs="Times New Roman"/>
          <w:sz w:val="24"/>
          <w:szCs w:val="24"/>
        </w:rPr>
        <w:t>Emmanuelle Espie</w:t>
      </w:r>
      <w:r w:rsidR="0086570E">
        <w:rPr>
          <w:rFonts w:ascii="Times New Roman" w:eastAsia="Times New Roman" w:hAnsi="Times New Roman" w:cs="Times New Roman"/>
          <w:sz w:val="24"/>
          <w:szCs w:val="24"/>
        </w:rPr>
        <w:t>.</w:t>
      </w:r>
      <w:r w:rsidR="00B706B2">
        <w:rPr>
          <w:rFonts w:ascii="Times New Roman" w:eastAsia="Times New Roman" w:hAnsi="Times New Roman" w:cs="Times New Roman"/>
          <w:sz w:val="24"/>
          <w:szCs w:val="24"/>
        </w:rPr>
        <w:t xml:space="preserve">  The authors also gratefully acknowledge the CDC COVID-19 vaccine Benefit-Risk team whose approach was used in the accompanying case </w:t>
      </w:r>
      <w:r w:rsidR="0081238F">
        <w:rPr>
          <w:rFonts w:ascii="Times New Roman" w:eastAsia="Times New Roman" w:hAnsi="Times New Roman" w:cs="Times New Roman"/>
          <w:sz w:val="24"/>
          <w:szCs w:val="24"/>
        </w:rPr>
        <w:t>study,</w:t>
      </w:r>
      <w:r w:rsidR="00B706B2">
        <w:rPr>
          <w:rFonts w:ascii="Times New Roman" w:eastAsia="Times New Roman" w:hAnsi="Times New Roman" w:cs="Times New Roman"/>
          <w:sz w:val="24"/>
          <w:szCs w:val="24"/>
        </w:rPr>
        <w:t xml:space="preserve"> and which was an important example for developing this module.</w:t>
      </w:r>
    </w:p>
    <w:p w14:paraId="20877D94" w14:textId="2D7C2A14" w:rsidR="00943A61" w:rsidRDefault="00017C61" w:rsidP="009D7273">
      <w:pPr>
        <w:keepNext/>
        <w:keepLines/>
        <w:spacing w:after="0" w:line="480" w:lineRule="auto"/>
        <w:jc w:val="both"/>
        <w:rPr>
          <w:rFonts w:ascii="Times New Roman" w:eastAsia="Times New Roman" w:hAnsi="Times New Roman" w:cs="Times New Roman"/>
          <w:b/>
          <w:sz w:val="24"/>
          <w:szCs w:val="24"/>
        </w:rPr>
      </w:pPr>
      <w:r w:rsidRPr="00783F18">
        <w:rPr>
          <w:rFonts w:ascii="Times New Roman" w:eastAsia="Times New Roman" w:hAnsi="Times New Roman" w:cs="Times New Roman"/>
          <w:b/>
          <w:sz w:val="24"/>
          <w:szCs w:val="24"/>
        </w:rPr>
        <w:lastRenderedPageBreak/>
        <w:t>Declaration of interests</w:t>
      </w:r>
    </w:p>
    <w:p w14:paraId="0F670993" w14:textId="065078FE" w:rsidR="009A4A6E" w:rsidRPr="009A4A6E" w:rsidRDefault="00C80A7D" w:rsidP="009963CE">
      <w:pPr>
        <w:keepNext/>
        <w:keepLines/>
        <w:spacing w:after="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9963CE" w:rsidRPr="009963CE">
        <w:rPr>
          <w:rFonts w:ascii="Times New Roman" w:eastAsia="Times New Roman" w:hAnsi="Times New Roman" w:cs="Times New Roman"/>
          <w:bCs/>
          <w:sz w:val="24"/>
          <w:szCs w:val="24"/>
        </w:rPr>
        <w:t>The authors declare the following financial interests/personal</w:t>
      </w:r>
      <w:r w:rsidR="009963CE">
        <w:rPr>
          <w:rFonts w:ascii="Times New Roman" w:eastAsia="Times New Roman" w:hAnsi="Times New Roman" w:cs="Times New Roman"/>
          <w:bCs/>
          <w:sz w:val="24"/>
          <w:szCs w:val="24"/>
        </w:rPr>
        <w:t xml:space="preserve"> </w:t>
      </w:r>
      <w:r w:rsidR="009963CE" w:rsidRPr="009963CE">
        <w:rPr>
          <w:rFonts w:ascii="Times New Roman" w:eastAsia="Times New Roman" w:hAnsi="Times New Roman" w:cs="Times New Roman"/>
          <w:bCs/>
          <w:sz w:val="24"/>
          <w:szCs w:val="24"/>
        </w:rPr>
        <w:t>relationships which may be considered as potential competing</w:t>
      </w:r>
      <w:r w:rsidR="009963CE">
        <w:rPr>
          <w:rFonts w:ascii="Times New Roman" w:eastAsia="Times New Roman" w:hAnsi="Times New Roman" w:cs="Times New Roman"/>
          <w:bCs/>
          <w:sz w:val="24"/>
          <w:szCs w:val="24"/>
        </w:rPr>
        <w:t xml:space="preserve"> </w:t>
      </w:r>
      <w:r w:rsidR="009963CE" w:rsidRPr="009963CE">
        <w:rPr>
          <w:rFonts w:ascii="Times New Roman" w:eastAsia="Times New Roman" w:hAnsi="Times New Roman" w:cs="Times New Roman"/>
          <w:bCs/>
          <w:sz w:val="24"/>
          <w:szCs w:val="24"/>
        </w:rPr>
        <w:t>interests:</w:t>
      </w:r>
      <w:r w:rsidR="009963CE">
        <w:t xml:space="preserve"> </w:t>
      </w:r>
      <w:r w:rsidR="006C1F9F">
        <w:rPr>
          <w:rFonts w:ascii="Times New Roman" w:eastAsia="Times New Roman" w:hAnsi="Times New Roman" w:cs="Times New Roman"/>
          <w:bCs/>
          <w:sz w:val="24"/>
          <w:szCs w:val="24"/>
        </w:rPr>
        <w:t xml:space="preserve">BL </w:t>
      </w:r>
      <w:r w:rsidR="009963CE" w:rsidRPr="009963CE">
        <w:rPr>
          <w:rFonts w:ascii="Times New Roman" w:eastAsia="Times New Roman" w:hAnsi="Times New Roman" w:cs="Times New Roman"/>
          <w:bCs/>
          <w:sz w:val="24"/>
          <w:szCs w:val="24"/>
        </w:rPr>
        <w:t>is an employee of Janssen Research and Development, LLC</w:t>
      </w:r>
      <w:r w:rsidR="006C1F9F">
        <w:rPr>
          <w:rFonts w:ascii="Times New Roman" w:eastAsia="Times New Roman" w:hAnsi="Times New Roman" w:cs="Times New Roman"/>
          <w:bCs/>
          <w:sz w:val="24"/>
          <w:szCs w:val="24"/>
        </w:rPr>
        <w:t xml:space="preserve">, </w:t>
      </w:r>
      <w:r w:rsidR="009963CE" w:rsidRPr="009963CE">
        <w:rPr>
          <w:rFonts w:ascii="Times New Roman" w:eastAsia="Times New Roman" w:hAnsi="Times New Roman" w:cs="Times New Roman"/>
          <w:bCs/>
          <w:sz w:val="24"/>
          <w:szCs w:val="24"/>
        </w:rPr>
        <w:t xml:space="preserve">is a stockholder in Johnson &amp; Johnson and </w:t>
      </w:r>
      <w:r w:rsidR="006C1F9F">
        <w:rPr>
          <w:rFonts w:ascii="Times New Roman" w:eastAsia="Times New Roman" w:hAnsi="Times New Roman" w:cs="Times New Roman"/>
          <w:bCs/>
          <w:sz w:val="24"/>
          <w:szCs w:val="24"/>
        </w:rPr>
        <w:t xml:space="preserve">has </w:t>
      </w:r>
      <w:r w:rsidR="009963CE" w:rsidRPr="009963CE">
        <w:rPr>
          <w:rFonts w:ascii="Times New Roman" w:eastAsia="Times New Roman" w:hAnsi="Times New Roman" w:cs="Times New Roman"/>
          <w:bCs/>
          <w:sz w:val="24"/>
          <w:szCs w:val="24"/>
        </w:rPr>
        <w:t>a portfolio that at times includes other pharmaceutical, vaccine and health care-related companies</w:t>
      </w:r>
      <w:r w:rsidR="0081238F">
        <w:rPr>
          <w:rFonts w:ascii="Times New Roman" w:eastAsia="Times New Roman" w:hAnsi="Times New Roman" w:cs="Times New Roman"/>
          <w:bCs/>
          <w:sz w:val="24"/>
          <w:szCs w:val="24"/>
        </w:rPr>
        <w:t xml:space="preserve">.  </w:t>
      </w:r>
      <w:r w:rsidR="00EF3682">
        <w:rPr>
          <w:rFonts w:ascii="Times New Roman" w:eastAsia="Times New Roman" w:hAnsi="Times New Roman" w:cs="Times New Roman"/>
          <w:bCs/>
          <w:sz w:val="24"/>
          <w:szCs w:val="24"/>
        </w:rPr>
        <w:t>VB</w:t>
      </w:r>
      <w:r w:rsidR="009963CE">
        <w:rPr>
          <w:rFonts w:ascii="Times New Roman" w:eastAsia="Times New Roman" w:hAnsi="Times New Roman" w:cs="Times New Roman"/>
          <w:bCs/>
          <w:sz w:val="24"/>
          <w:szCs w:val="24"/>
        </w:rPr>
        <w:t xml:space="preserve"> </w:t>
      </w:r>
      <w:r w:rsidR="009963CE" w:rsidRPr="009963CE">
        <w:rPr>
          <w:rFonts w:ascii="Times New Roman" w:eastAsia="Times New Roman" w:hAnsi="Times New Roman" w:cs="Times New Roman"/>
          <w:bCs/>
          <w:sz w:val="24"/>
          <w:szCs w:val="24"/>
        </w:rPr>
        <w:t>is an employee, and own shares options, of GSK</w:t>
      </w:r>
      <w:r w:rsidR="0081238F">
        <w:rPr>
          <w:rFonts w:ascii="Times New Roman" w:eastAsia="Times New Roman" w:hAnsi="Times New Roman" w:cs="Times New Roman"/>
          <w:bCs/>
          <w:sz w:val="24"/>
          <w:szCs w:val="24"/>
        </w:rPr>
        <w:t>.</w:t>
      </w:r>
      <w:r w:rsidR="009963CE">
        <w:rPr>
          <w:rFonts w:ascii="Times New Roman" w:eastAsia="Times New Roman" w:hAnsi="Times New Roman" w:cs="Times New Roman"/>
          <w:bCs/>
          <w:sz w:val="24"/>
          <w:szCs w:val="24"/>
        </w:rPr>
        <w:t xml:space="preserve"> </w:t>
      </w:r>
      <w:r w:rsidR="0081238F">
        <w:rPr>
          <w:rFonts w:ascii="Times New Roman" w:eastAsia="Times New Roman" w:hAnsi="Times New Roman" w:cs="Times New Roman"/>
          <w:bCs/>
          <w:sz w:val="24"/>
          <w:szCs w:val="24"/>
        </w:rPr>
        <w:t xml:space="preserve"> </w:t>
      </w:r>
      <w:r w:rsidR="00EF3682">
        <w:rPr>
          <w:rFonts w:ascii="Times New Roman" w:eastAsia="Times New Roman" w:hAnsi="Times New Roman" w:cs="Times New Roman"/>
          <w:bCs/>
          <w:sz w:val="24"/>
          <w:szCs w:val="24"/>
        </w:rPr>
        <w:t xml:space="preserve">NB </w:t>
      </w:r>
      <w:r w:rsidR="009963CE">
        <w:rPr>
          <w:rFonts w:ascii="Times New Roman" w:eastAsia="Times New Roman" w:hAnsi="Times New Roman" w:cs="Times New Roman"/>
          <w:bCs/>
          <w:sz w:val="24"/>
          <w:szCs w:val="24"/>
        </w:rPr>
        <w:t>is an e</w:t>
      </w:r>
      <w:r w:rsidR="009963CE" w:rsidRPr="009963CE">
        <w:rPr>
          <w:rFonts w:ascii="Times New Roman" w:eastAsia="Times New Roman" w:hAnsi="Times New Roman" w:cs="Times New Roman"/>
          <w:bCs/>
          <w:sz w:val="24"/>
          <w:szCs w:val="24"/>
        </w:rPr>
        <w:t>mployee of and stockholder of Novavax, Inc</w:t>
      </w:r>
      <w:r w:rsidR="009963C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The remaining authors declare </w:t>
      </w:r>
      <w:r w:rsidRPr="00C80A7D">
        <w:rPr>
          <w:rFonts w:ascii="Times New Roman" w:eastAsia="Times New Roman" w:hAnsi="Times New Roman" w:cs="Times New Roman"/>
          <w:bCs/>
          <w:sz w:val="24"/>
          <w:szCs w:val="24"/>
        </w:rPr>
        <w:t>that they have no known competing financial interests or personal relationships that could have appeared</w:t>
      </w:r>
      <w:r>
        <w:rPr>
          <w:rFonts w:ascii="Times New Roman" w:eastAsia="Times New Roman" w:hAnsi="Times New Roman" w:cs="Times New Roman"/>
          <w:bCs/>
          <w:sz w:val="24"/>
          <w:szCs w:val="24"/>
        </w:rPr>
        <w:t xml:space="preserve"> </w:t>
      </w:r>
      <w:r w:rsidRPr="00C80A7D">
        <w:rPr>
          <w:rFonts w:ascii="Times New Roman" w:eastAsia="Times New Roman" w:hAnsi="Times New Roman" w:cs="Times New Roman"/>
          <w:bCs/>
          <w:sz w:val="24"/>
          <w:szCs w:val="24"/>
        </w:rPr>
        <w:t>to influence the work reported in this paper.</w:t>
      </w:r>
    </w:p>
    <w:p w14:paraId="2AFC217B" w14:textId="77777777" w:rsidR="006C1BAE" w:rsidRDefault="006C1BAE">
      <w:pPr>
        <w:rPr>
          <w:rFonts w:ascii="Times New Roman" w:hAnsi="Times New Roman" w:cs="Times New Roman"/>
          <w:b/>
          <w:sz w:val="24"/>
          <w:szCs w:val="24"/>
        </w:rPr>
      </w:pPr>
      <w:r>
        <w:rPr>
          <w:rFonts w:ascii="Times New Roman" w:hAnsi="Times New Roman" w:cs="Times New Roman"/>
          <w:b/>
          <w:sz w:val="24"/>
          <w:szCs w:val="24"/>
        </w:rPr>
        <w:br w:type="page"/>
      </w:r>
    </w:p>
    <w:p w14:paraId="3CE40342" w14:textId="1047BBCB" w:rsidR="00783F18" w:rsidRPr="00783F18" w:rsidRDefault="007D386B" w:rsidP="00362430">
      <w:pPr>
        <w:pBdr>
          <w:top w:val="nil"/>
          <w:left w:val="nil"/>
          <w:bottom w:val="nil"/>
          <w:right w:val="nil"/>
          <w:between w:val="nil"/>
        </w:pBdr>
        <w:jc w:val="center"/>
        <w:rPr>
          <w:rFonts w:ascii="Times New Roman" w:eastAsia="Arial" w:hAnsi="Times New Roman" w:cs="Times New Roman"/>
          <w:b/>
          <w:sz w:val="24"/>
          <w:szCs w:val="24"/>
        </w:rPr>
      </w:pPr>
      <w:r>
        <w:rPr>
          <w:rFonts w:ascii="Times New Roman" w:hAnsi="Times New Roman" w:cs="Times New Roman"/>
          <w:b/>
          <w:sz w:val="24"/>
          <w:szCs w:val="24"/>
        </w:rPr>
        <w:lastRenderedPageBreak/>
        <w:t xml:space="preserve">Table 1- </w:t>
      </w:r>
      <w:r w:rsidR="00783F18" w:rsidRPr="00783F18">
        <w:rPr>
          <w:rFonts w:ascii="Times New Roman" w:hAnsi="Times New Roman" w:cs="Times New Roman"/>
          <w:b/>
          <w:sz w:val="24"/>
          <w:szCs w:val="24"/>
        </w:rPr>
        <w:t>BRAVATO Module for Vaccine Structured Benefit-Risk Assessment</w:t>
      </w:r>
    </w:p>
    <w:p w14:paraId="366F13F1" w14:textId="33BAE8C4" w:rsidR="00783F18" w:rsidRPr="00783F18" w:rsidRDefault="00095401" w:rsidP="00362430">
      <w:pPr>
        <w:pBdr>
          <w:top w:val="nil"/>
          <w:left w:val="nil"/>
          <w:bottom w:val="nil"/>
          <w:right w:val="nil"/>
          <w:between w:val="nil"/>
        </w:pBdr>
        <w:jc w:val="center"/>
        <w:rPr>
          <w:rFonts w:ascii="Times New Roman" w:hAnsi="Times New Roman" w:cs="Times New Roman"/>
          <w:b/>
          <w:sz w:val="24"/>
          <w:szCs w:val="24"/>
        </w:rPr>
      </w:pPr>
      <w:r>
        <w:rPr>
          <w:rFonts w:ascii="Times New Roman" w:hAnsi="Times New Roman" w:cs="Times New Roman"/>
          <w:b/>
          <w:sz w:val="24"/>
          <w:szCs w:val="24"/>
        </w:rPr>
        <w:t xml:space="preserve">Version 1: </w:t>
      </w:r>
      <w:r w:rsidR="0079233E">
        <w:rPr>
          <w:rFonts w:ascii="Times New Roman" w:hAnsi="Times New Roman" w:cs="Times New Roman"/>
          <w:b/>
          <w:sz w:val="24"/>
          <w:szCs w:val="24"/>
        </w:rPr>
        <w:t>April 1</w:t>
      </w:r>
      <w:r w:rsidR="00783F18" w:rsidRPr="00783F18">
        <w:rPr>
          <w:rFonts w:ascii="Times New Roman" w:hAnsi="Times New Roman" w:cs="Times New Roman"/>
          <w:b/>
          <w:sz w:val="24"/>
          <w:szCs w:val="24"/>
        </w:rPr>
        <w:t xml:space="preserve">, </w:t>
      </w:r>
      <w:r w:rsidR="00B571BF" w:rsidRPr="00783F18">
        <w:rPr>
          <w:rFonts w:ascii="Times New Roman" w:hAnsi="Times New Roman" w:cs="Times New Roman"/>
          <w:b/>
          <w:sz w:val="24"/>
          <w:szCs w:val="24"/>
        </w:rPr>
        <w:t>202</w:t>
      </w:r>
      <w:r w:rsidR="00B571BF">
        <w:rPr>
          <w:rFonts w:ascii="Times New Roman" w:hAnsi="Times New Roman" w:cs="Times New Roman"/>
          <w:b/>
          <w:sz w:val="24"/>
          <w:szCs w:val="24"/>
        </w:rPr>
        <w:t>3</w:t>
      </w:r>
    </w:p>
    <w:p w14:paraId="69AF0469" w14:textId="77777777" w:rsidR="00783F18" w:rsidRPr="00456F30" w:rsidRDefault="00783F18" w:rsidP="00783F18">
      <w:pPr>
        <w:spacing w:after="120"/>
        <w:rPr>
          <w:rFonts w:ascii="Times New Roman" w:hAnsi="Times New Roman" w:cs="Times New Roman"/>
          <w:b/>
          <w:bCs/>
          <w:i/>
          <w:sz w:val="24"/>
          <w:szCs w:val="24"/>
        </w:rPr>
      </w:pPr>
      <w:r w:rsidRPr="00456F30">
        <w:rPr>
          <w:rFonts w:ascii="Times New Roman" w:hAnsi="Times New Roman" w:cs="Times New Roman"/>
          <w:b/>
          <w:bCs/>
          <w:i/>
          <w:sz w:val="24"/>
          <w:szCs w:val="24"/>
        </w:rPr>
        <w:t>Background</w:t>
      </w:r>
    </w:p>
    <w:p w14:paraId="7A493045" w14:textId="66245D8B" w:rsidR="00783F18" w:rsidRPr="00783F18" w:rsidRDefault="00783F18" w:rsidP="00362430">
      <w:pPr>
        <w:spacing w:before="240"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 xml:space="preserve">The decision to progress the clinical development, approve, recommend or use any medical intervention, be it a vaccine or a drug, is predicated on showing whether its benefits outweigh its risks. Formal assessment of benefit-risk (B-R) </w:t>
      </w:r>
      <w:r w:rsidR="00F367ED">
        <w:rPr>
          <w:rFonts w:ascii="Times New Roman" w:hAnsi="Times New Roman" w:cs="Times New Roman"/>
          <w:sz w:val="24"/>
          <w:szCs w:val="24"/>
        </w:rPr>
        <w:t xml:space="preserve">should help guide those decisions at each stage of </w:t>
      </w:r>
      <w:r w:rsidRPr="00783F18">
        <w:rPr>
          <w:rFonts w:ascii="Times New Roman" w:hAnsi="Times New Roman" w:cs="Times New Roman"/>
          <w:sz w:val="24"/>
          <w:szCs w:val="24"/>
        </w:rPr>
        <w:t>the vaccine lifecycle. Systematic B-R assessment can provide transparent information to ensure evidence-based public health decisions and to maintain or regain trust in vaccination.</w:t>
      </w:r>
    </w:p>
    <w:p w14:paraId="64CDB822" w14:textId="010ACE53" w:rsidR="00783F18" w:rsidRPr="00783F18" w:rsidRDefault="00783F18" w:rsidP="00362430">
      <w:pPr>
        <w:spacing w:before="240"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Formally, B-R assessment is the evaluation of the demonstrated benefits and risks of a vaccine or medical product and making a judgment as to whether the expected key benefits outweigh the potential key harms associated with its expected use</w:t>
      </w:r>
      <w:r>
        <w:rPr>
          <w:rFonts w:ascii="Times New Roman" w:hAnsi="Times New Roman" w:cs="Times New Roman"/>
          <w:sz w:val="24"/>
          <w:szCs w:val="24"/>
        </w:rPr>
        <w:t>.</w:t>
      </w:r>
      <w:r w:rsidR="00BE5BE4" w:rsidRPr="00BE5BE4">
        <w:rPr>
          <w:rFonts w:ascii="Times New Roman" w:hAnsi="Times New Roman" w:cs="Times New Roman"/>
          <w:sz w:val="24"/>
          <w:szCs w:val="24"/>
          <w:vertAlign w:val="superscript"/>
        </w:rPr>
        <w:t>7</w:t>
      </w:r>
      <w:r w:rsidR="00BE5BE4">
        <w:rPr>
          <w:rFonts w:ascii="Times New Roman" w:hAnsi="Times New Roman" w:cs="Times New Roman"/>
          <w:noProof/>
          <w:sz w:val="24"/>
          <w:szCs w:val="24"/>
          <w:lang w:val="en-US"/>
        </w:rPr>
        <w:t xml:space="preserve"> </w:t>
      </w:r>
      <w:r w:rsidRPr="00783F18">
        <w:rPr>
          <w:rFonts w:ascii="Times New Roman" w:hAnsi="Times New Roman" w:cs="Times New Roman"/>
          <w:sz w:val="24"/>
          <w:szCs w:val="24"/>
        </w:rPr>
        <w:t>B-R assessment typically entails a systematic review of the relevant evidence available to date. In some cases, B-R assessment can be done qualitatively by visual inspection of effectiveness and safety data. In other cases, a structured framework approach or quantitative modelling is needed to make a transparent and defensible B-R decision. A range of approaches for vaccine B-R were reviewed in Arlegui et al. 202</w:t>
      </w:r>
      <w:r>
        <w:rPr>
          <w:rFonts w:ascii="Times New Roman" w:hAnsi="Times New Roman" w:cs="Times New Roman"/>
          <w:sz w:val="24"/>
          <w:szCs w:val="24"/>
        </w:rPr>
        <w:t>0</w:t>
      </w:r>
      <w:r w:rsidR="00BE5BE4" w:rsidRPr="00BE5BE4">
        <w:rPr>
          <w:rFonts w:ascii="Times New Roman" w:hAnsi="Times New Roman" w:cs="Times New Roman"/>
          <w:sz w:val="24"/>
          <w:szCs w:val="24"/>
          <w:vertAlign w:val="superscript"/>
        </w:rPr>
        <w:t>16</w:t>
      </w:r>
      <w:r w:rsidRPr="00783F18">
        <w:rPr>
          <w:rFonts w:ascii="Times New Roman" w:hAnsi="Times New Roman" w:cs="Times New Roman"/>
          <w:sz w:val="24"/>
          <w:szCs w:val="24"/>
        </w:rPr>
        <w:t>, while several more recent examples can be found for the COVID-19 vaccines.</w:t>
      </w:r>
      <w:r w:rsidR="00BE5BE4" w:rsidRPr="00BE5BE4">
        <w:rPr>
          <w:rFonts w:ascii="Times New Roman" w:hAnsi="Times New Roman" w:cs="Times New Roman"/>
          <w:sz w:val="24"/>
          <w:szCs w:val="24"/>
          <w:vertAlign w:val="superscript"/>
        </w:rPr>
        <w:t>18</w:t>
      </w:r>
      <w:r w:rsidR="00BE5BE4">
        <w:rPr>
          <w:rFonts w:ascii="Times New Roman" w:hAnsi="Times New Roman" w:cs="Times New Roman"/>
          <w:sz w:val="24"/>
          <w:szCs w:val="24"/>
          <w:vertAlign w:val="superscript"/>
        </w:rPr>
        <w:t xml:space="preserve"> </w:t>
      </w:r>
      <w:r w:rsidR="00BE5BE4">
        <w:rPr>
          <w:rFonts w:ascii="Times New Roman" w:hAnsi="Times New Roman" w:cs="Times New Roman"/>
          <w:sz w:val="24"/>
          <w:szCs w:val="24"/>
        </w:rPr>
        <w:t>Increasingly</w:t>
      </w:r>
      <w:r w:rsidRPr="00783F18">
        <w:rPr>
          <w:rFonts w:ascii="Times New Roman" w:hAnsi="Times New Roman" w:cs="Times New Roman"/>
          <w:sz w:val="24"/>
          <w:szCs w:val="24"/>
        </w:rPr>
        <w:t>, there are guidelines for B-R, with a draft guidance issued by the FDA being one of the most recent.</w:t>
      </w:r>
      <w:r w:rsidR="00BE5BE4" w:rsidRPr="00BE5BE4">
        <w:rPr>
          <w:rFonts w:ascii="Times New Roman" w:hAnsi="Times New Roman" w:cs="Times New Roman"/>
          <w:noProof/>
          <w:sz w:val="24"/>
          <w:szCs w:val="24"/>
          <w:vertAlign w:val="superscript"/>
          <w:lang w:val="en-US"/>
        </w:rPr>
        <w:t>19</w:t>
      </w:r>
    </w:p>
    <w:p w14:paraId="69724501" w14:textId="76483D50" w:rsidR="00783F18" w:rsidRPr="00783F18" w:rsidRDefault="00783F18" w:rsidP="00362430">
      <w:pPr>
        <w:spacing w:before="240"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 xml:space="preserve">For vaccines, B-R is </w:t>
      </w:r>
      <w:r w:rsidR="00A12A38">
        <w:rPr>
          <w:rFonts w:ascii="Times New Roman" w:hAnsi="Times New Roman" w:cs="Times New Roman"/>
          <w:sz w:val="24"/>
          <w:szCs w:val="24"/>
        </w:rPr>
        <w:t xml:space="preserve">constantly </w:t>
      </w:r>
      <w:r w:rsidRPr="00783F18">
        <w:rPr>
          <w:rFonts w:ascii="Times New Roman" w:hAnsi="Times New Roman" w:cs="Times New Roman"/>
          <w:sz w:val="24"/>
          <w:szCs w:val="24"/>
        </w:rPr>
        <w:t xml:space="preserve">evolving, as new effectiveness and safety data accrue post-authorization, disease transmission rates </w:t>
      </w:r>
      <w:r w:rsidR="00312385">
        <w:rPr>
          <w:rFonts w:ascii="Times New Roman" w:hAnsi="Times New Roman" w:cs="Times New Roman"/>
          <w:sz w:val="24"/>
          <w:szCs w:val="24"/>
        </w:rPr>
        <w:t>and</w:t>
      </w:r>
      <w:r w:rsidRPr="00783F18">
        <w:rPr>
          <w:rFonts w:ascii="Times New Roman" w:hAnsi="Times New Roman" w:cs="Times New Roman"/>
          <w:sz w:val="24"/>
          <w:szCs w:val="24"/>
        </w:rPr>
        <w:t xml:space="preserve"> government policies change, vaccine access and logistics improve, and mutations lead to vir</w:t>
      </w:r>
      <w:r w:rsidR="00A12A38">
        <w:rPr>
          <w:rFonts w:ascii="Times New Roman" w:hAnsi="Times New Roman" w:cs="Times New Roman"/>
          <w:sz w:val="24"/>
          <w:szCs w:val="24"/>
        </w:rPr>
        <w:t>al</w:t>
      </w:r>
      <w:r w:rsidRPr="00783F18">
        <w:rPr>
          <w:rFonts w:ascii="Times New Roman" w:hAnsi="Times New Roman" w:cs="Times New Roman"/>
          <w:sz w:val="24"/>
          <w:szCs w:val="24"/>
        </w:rPr>
        <w:t xml:space="preserve"> or bacterial variants with different infectivity, virulence and </w:t>
      </w:r>
      <w:r w:rsidR="007A22A0">
        <w:rPr>
          <w:rFonts w:ascii="Times New Roman" w:hAnsi="Times New Roman" w:cs="Times New Roman"/>
          <w:sz w:val="24"/>
          <w:szCs w:val="24"/>
        </w:rPr>
        <w:t xml:space="preserve">susceptibility </w:t>
      </w:r>
      <w:r w:rsidRPr="00783F18">
        <w:rPr>
          <w:rFonts w:ascii="Times New Roman" w:hAnsi="Times New Roman" w:cs="Times New Roman"/>
          <w:sz w:val="24"/>
          <w:szCs w:val="24"/>
        </w:rPr>
        <w:t xml:space="preserve">to vaccines and other </w:t>
      </w:r>
      <w:r w:rsidR="001A5704">
        <w:rPr>
          <w:rFonts w:ascii="Times New Roman" w:hAnsi="Times New Roman" w:cs="Times New Roman"/>
          <w:sz w:val="24"/>
          <w:szCs w:val="24"/>
        </w:rPr>
        <w:t xml:space="preserve">preventative and </w:t>
      </w:r>
      <w:r w:rsidRPr="00783F18">
        <w:rPr>
          <w:rFonts w:ascii="Times New Roman" w:hAnsi="Times New Roman" w:cs="Times New Roman"/>
          <w:sz w:val="24"/>
          <w:szCs w:val="24"/>
        </w:rPr>
        <w:t>treatment</w:t>
      </w:r>
      <w:r w:rsidR="001A5704">
        <w:rPr>
          <w:rFonts w:ascii="Times New Roman" w:hAnsi="Times New Roman" w:cs="Times New Roman"/>
          <w:sz w:val="24"/>
          <w:szCs w:val="24"/>
        </w:rPr>
        <w:t xml:space="preserve"> measure</w:t>
      </w:r>
      <w:r w:rsidRPr="00783F18">
        <w:rPr>
          <w:rFonts w:ascii="Times New Roman" w:hAnsi="Times New Roman" w:cs="Times New Roman"/>
          <w:sz w:val="24"/>
          <w:szCs w:val="24"/>
        </w:rPr>
        <w:t xml:space="preserve">s. The purpose of this module is to support a structured framework approach to vaccine B-R assessment. </w:t>
      </w:r>
    </w:p>
    <w:p w14:paraId="5FCE28E1" w14:textId="77777777" w:rsidR="00783F18" w:rsidRPr="00456F30" w:rsidRDefault="00783F18" w:rsidP="00362430">
      <w:pPr>
        <w:keepNext/>
        <w:pBdr>
          <w:top w:val="nil"/>
          <w:left w:val="nil"/>
          <w:bottom w:val="nil"/>
          <w:right w:val="nil"/>
          <w:between w:val="nil"/>
        </w:pBdr>
        <w:spacing w:line="480" w:lineRule="auto"/>
        <w:rPr>
          <w:rFonts w:ascii="Times New Roman" w:hAnsi="Times New Roman" w:cs="Times New Roman"/>
          <w:b/>
          <w:bCs/>
          <w:i/>
          <w:sz w:val="24"/>
          <w:szCs w:val="24"/>
        </w:rPr>
      </w:pPr>
      <w:r w:rsidRPr="00456F30">
        <w:rPr>
          <w:rFonts w:ascii="Times New Roman" w:hAnsi="Times New Roman" w:cs="Times New Roman"/>
          <w:b/>
          <w:bCs/>
          <w:i/>
          <w:sz w:val="24"/>
          <w:szCs w:val="24"/>
        </w:rPr>
        <w:lastRenderedPageBreak/>
        <w:t>B-R Assessment Module</w:t>
      </w:r>
    </w:p>
    <w:p w14:paraId="2A0A2827" w14:textId="0E7C7894" w:rsidR="00783F18" w:rsidRPr="00783F18" w:rsidRDefault="00783F18" w:rsidP="00362430">
      <w:pPr>
        <w:spacing w:before="240"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This module was developed within the Brighton Collaboration’s Benefit-Risk Assessment of VAccines by TechnolOgy (BRAVATO) working group, consisting of experts with a wide variety of backgrounds. BRAVATO has developed and published standardized templates that summarize key considerations for vaccine B-R assessment.</w:t>
      </w:r>
      <w:r w:rsidR="00BE5BE4" w:rsidRPr="00BE5BE4">
        <w:rPr>
          <w:rFonts w:ascii="Times New Roman" w:hAnsi="Times New Roman" w:cs="Times New Roman"/>
          <w:sz w:val="24"/>
          <w:szCs w:val="24"/>
          <w:vertAlign w:val="superscript"/>
        </w:rPr>
        <w:t>2-6</w:t>
      </w:r>
      <w:r w:rsidR="00BE5BE4">
        <w:rPr>
          <w:rFonts w:ascii="Times New Roman" w:hAnsi="Times New Roman" w:cs="Times New Roman"/>
          <w:noProof/>
          <w:sz w:val="24"/>
          <w:szCs w:val="24"/>
          <w:lang w:val="en-US"/>
        </w:rPr>
        <w:t xml:space="preserve"> </w:t>
      </w:r>
      <w:r w:rsidRPr="00783F18">
        <w:rPr>
          <w:rFonts w:ascii="Times New Roman" w:hAnsi="Times New Roman" w:cs="Times New Roman"/>
          <w:sz w:val="24"/>
          <w:szCs w:val="24"/>
        </w:rPr>
        <w:t>These templates summarize information on vaccine effectiveness and safety separately, without support for structured B-R assessment. This module provides that support.</w:t>
      </w:r>
    </w:p>
    <w:p w14:paraId="0F8635C3" w14:textId="41499239" w:rsidR="00783F18" w:rsidRPr="00783F18" w:rsidRDefault="00783F18" w:rsidP="00362430">
      <w:pPr>
        <w:spacing w:before="240"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 xml:space="preserve">This module can be used as an optional supplemental B-R add-on to these standardized Brighton vaccine templates or as an independent document for planning, </w:t>
      </w:r>
      <w:r w:rsidR="005D17E3" w:rsidRPr="00783F18">
        <w:rPr>
          <w:rFonts w:ascii="Times New Roman" w:hAnsi="Times New Roman" w:cs="Times New Roman"/>
          <w:sz w:val="24"/>
          <w:szCs w:val="24"/>
        </w:rPr>
        <w:t>conducting,</w:t>
      </w:r>
      <w:r w:rsidRPr="00783F18">
        <w:rPr>
          <w:rFonts w:ascii="Times New Roman" w:hAnsi="Times New Roman" w:cs="Times New Roman"/>
          <w:sz w:val="24"/>
          <w:szCs w:val="24"/>
        </w:rPr>
        <w:t xml:space="preserve"> or reporting vaccine B-R assessments. It can be used by developers, </w:t>
      </w:r>
      <w:r w:rsidR="005D17E3" w:rsidRPr="00783F18">
        <w:rPr>
          <w:rFonts w:ascii="Times New Roman" w:hAnsi="Times New Roman" w:cs="Times New Roman"/>
          <w:sz w:val="24"/>
          <w:szCs w:val="24"/>
        </w:rPr>
        <w:t>regulators,</w:t>
      </w:r>
      <w:r w:rsidRPr="00783F18">
        <w:rPr>
          <w:rFonts w:ascii="Times New Roman" w:hAnsi="Times New Roman" w:cs="Times New Roman"/>
          <w:sz w:val="24"/>
          <w:szCs w:val="24"/>
        </w:rPr>
        <w:t xml:space="preserve"> and public health agencies to help make informed decision</w:t>
      </w:r>
      <w:r w:rsidR="002B47AC">
        <w:rPr>
          <w:rFonts w:ascii="Times New Roman" w:hAnsi="Times New Roman" w:cs="Times New Roman"/>
          <w:sz w:val="24"/>
          <w:szCs w:val="24"/>
        </w:rPr>
        <w:t>s</w:t>
      </w:r>
      <w:r w:rsidRPr="00783F18">
        <w:rPr>
          <w:rFonts w:ascii="Times New Roman" w:hAnsi="Times New Roman" w:cs="Times New Roman"/>
          <w:sz w:val="24"/>
          <w:szCs w:val="24"/>
        </w:rPr>
        <w:t xml:space="preserve"> concerning development, licensure, </w:t>
      </w:r>
      <w:r w:rsidR="005D17E3" w:rsidRPr="00783F18">
        <w:rPr>
          <w:rFonts w:ascii="Times New Roman" w:hAnsi="Times New Roman" w:cs="Times New Roman"/>
          <w:sz w:val="24"/>
          <w:szCs w:val="24"/>
        </w:rPr>
        <w:t>deployment,</w:t>
      </w:r>
      <w:r w:rsidRPr="00783F18">
        <w:rPr>
          <w:rFonts w:ascii="Times New Roman" w:hAnsi="Times New Roman" w:cs="Times New Roman"/>
          <w:sz w:val="24"/>
          <w:szCs w:val="24"/>
        </w:rPr>
        <w:t xml:space="preserve"> and other lifecycle decisions of vaccines. It can be applied for B-R decisions throughout the vaccine lifecycle, both to describe an approach for B-R that will be conducted when data becomes available or as a formal assessment of B-R based on accumulated data. It can also be used as a “living document” to support revised B-R assessments as evidence accumulates.</w:t>
      </w:r>
    </w:p>
    <w:p w14:paraId="00FF2392" w14:textId="3F31CE58" w:rsidR="00783F18" w:rsidRPr="00783F18" w:rsidRDefault="00783F18" w:rsidP="00362430">
      <w:pPr>
        <w:pBdr>
          <w:top w:val="nil"/>
          <w:left w:val="nil"/>
          <w:bottom w:val="nil"/>
          <w:right w:val="nil"/>
          <w:between w:val="nil"/>
        </w:pBd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The structured approach for vaccines B-R in this module is based on the growing use of structured B-R frameworks in regulatory reviews.</w:t>
      </w:r>
      <w:r w:rsidR="00BE5BE4" w:rsidRPr="00BE5BE4">
        <w:rPr>
          <w:rFonts w:ascii="Times New Roman" w:hAnsi="Times New Roman" w:cs="Times New Roman"/>
          <w:sz w:val="24"/>
          <w:szCs w:val="24"/>
          <w:vertAlign w:val="superscript"/>
        </w:rPr>
        <w:t>8,16,19</w:t>
      </w:r>
      <w:r w:rsidR="00BE5BE4">
        <w:rPr>
          <w:rFonts w:ascii="Times New Roman" w:hAnsi="Times New Roman" w:cs="Times New Roman"/>
          <w:noProof/>
          <w:sz w:val="24"/>
          <w:szCs w:val="24"/>
          <w:lang w:val="en-US"/>
        </w:rPr>
        <w:t xml:space="preserve"> </w:t>
      </w:r>
      <w:r w:rsidRPr="00783F18">
        <w:rPr>
          <w:rFonts w:ascii="Times New Roman" w:hAnsi="Times New Roman" w:cs="Times New Roman"/>
          <w:sz w:val="24"/>
          <w:szCs w:val="24"/>
        </w:rPr>
        <w:t xml:space="preserve">A B-R framework is a set of guidelines, processes and tools to select evidence for a B-R assessment, organize that evidence, mathematically summarize it and communicate it to decision-makers. Specific roles for this module include supporting rapid conduct of defensible B-R assessments, transparent communication of those assessments, and facilitating scientific discourse among key stakeholders (including vaccine developers, funders, and regulators and policy makers) in high, middle or low-income countries. These roles are of particular importance in epidemics </w:t>
      </w:r>
      <w:r w:rsidRPr="00783F18">
        <w:rPr>
          <w:rFonts w:ascii="Times New Roman" w:hAnsi="Times New Roman" w:cs="Times New Roman"/>
          <w:sz w:val="24"/>
          <w:szCs w:val="24"/>
        </w:rPr>
        <w:lastRenderedPageBreak/>
        <w:t xml:space="preserve">and pandemics, as observed in the rapid regulatory decisions needed for COVID-19 vaccines for Emergency Use Authorization (EUA), Conditional Marketing Authorisation (CMA) and Emergency Use Listing (EUL) decisions once adverse events were noted. </w:t>
      </w:r>
    </w:p>
    <w:p w14:paraId="5704449F" w14:textId="77777777" w:rsidR="00783F18" w:rsidRPr="00456F30" w:rsidRDefault="00783F18" w:rsidP="00362430">
      <w:pPr>
        <w:keepNext/>
        <w:pBdr>
          <w:top w:val="nil"/>
          <w:left w:val="nil"/>
          <w:bottom w:val="nil"/>
          <w:right w:val="nil"/>
          <w:between w:val="nil"/>
        </w:pBdr>
        <w:spacing w:line="480" w:lineRule="auto"/>
        <w:rPr>
          <w:rFonts w:ascii="Times New Roman" w:hAnsi="Times New Roman" w:cs="Times New Roman"/>
          <w:b/>
          <w:bCs/>
          <w:i/>
          <w:sz w:val="24"/>
          <w:szCs w:val="24"/>
        </w:rPr>
      </w:pPr>
      <w:r w:rsidRPr="00456F30">
        <w:rPr>
          <w:rFonts w:ascii="Times New Roman" w:hAnsi="Times New Roman" w:cs="Times New Roman"/>
          <w:b/>
          <w:bCs/>
          <w:i/>
          <w:sz w:val="24"/>
          <w:szCs w:val="24"/>
        </w:rPr>
        <w:t>When to use this module</w:t>
      </w:r>
    </w:p>
    <w:p w14:paraId="1E22490A" w14:textId="788DFF64" w:rsidR="00783F18" w:rsidRPr="00783F18" w:rsidRDefault="00783F18" w:rsidP="00362430">
      <w:pPr>
        <w:spacing w:before="240"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 xml:space="preserve">This module can be used at any point in development – when planning a vaccine B-R assessment, when conducting a B-R assessment after top line clinical trial data </w:t>
      </w:r>
      <w:r w:rsidR="009B44AA">
        <w:rPr>
          <w:rFonts w:ascii="Times New Roman" w:hAnsi="Times New Roman" w:cs="Times New Roman"/>
          <w:sz w:val="24"/>
          <w:szCs w:val="24"/>
        </w:rPr>
        <w:t>are</w:t>
      </w:r>
      <w:r w:rsidR="009B44AA" w:rsidRPr="00783F18">
        <w:rPr>
          <w:rFonts w:ascii="Times New Roman" w:hAnsi="Times New Roman" w:cs="Times New Roman"/>
          <w:sz w:val="24"/>
          <w:szCs w:val="24"/>
        </w:rPr>
        <w:t xml:space="preserve"> </w:t>
      </w:r>
      <w:r w:rsidRPr="00783F18">
        <w:rPr>
          <w:rFonts w:ascii="Times New Roman" w:hAnsi="Times New Roman" w:cs="Times New Roman"/>
          <w:sz w:val="24"/>
          <w:szCs w:val="24"/>
        </w:rPr>
        <w:t>available, when reviewing a B-R assessment, or for post-approval B-R assessment as data accrues from real-world use. While many specifics will differ between vaccine platforms, the approach to B-R is generally independent of the platform.</w:t>
      </w:r>
    </w:p>
    <w:p w14:paraId="2458CEBD" w14:textId="77777777" w:rsidR="00783F18" w:rsidRPr="00456F30" w:rsidRDefault="00783F18" w:rsidP="00362430">
      <w:pPr>
        <w:keepNext/>
        <w:spacing w:line="480" w:lineRule="auto"/>
        <w:rPr>
          <w:rFonts w:ascii="Times New Roman" w:hAnsi="Times New Roman" w:cs="Times New Roman"/>
          <w:b/>
          <w:bCs/>
          <w:i/>
          <w:sz w:val="24"/>
          <w:szCs w:val="24"/>
        </w:rPr>
      </w:pPr>
      <w:r w:rsidRPr="00456F30">
        <w:rPr>
          <w:rFonts w:ascii="Times New Roman" w:hAnsi="Times New Roman" w:cs="Times New Roman"/>
          <w:b/>
          <w:bCs/>
          <w:i/>
          <w:sz w:val="24"/>
          <w:szCs w:val="24"/>
        </w:rPr>
        <w:t>How to use this module</w:t>
      </w:r>
    </w:p>
    <w:p w14:paraId="20A707A4" w14:textId="3C98C471" w:rsidR="00362430" w:rsidRPr="00783F18" w:rsidRDefault="00783F18" w:rsidP="00362430">
      <w:pPr>
        <w:spacing w:before="240"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 xml:space="preserve">If used along with the primary </w:t>
      </w:r>
      <w:hyperlink r:id="rId15">
        <w:r w:rsidRPr="00783F18">
          <w:rPr>
            <w:rFonts w:ascii="Times New Roman" w:hAnsi="Times New Roman" w:cs="Times New Roman"/>
            <w:sz w:val="24"/>
            <w:szCs w:val="24"/>
          </w:rPr>
          <w:t>BRAVATO</w:t>
        </w:r>
      </w:hyperlink>
      <w:r w:rsidRPr="00783F18">
        <w:rPr>
          <w:rFonts w:ascii="Times New Roman" w:hAnsi="Times New Roman" w:cs="Times New Roman"/>
          <w:sz w:val="24"/>
          <w:szCs w:val="24"/>
        </w:rPr>
        <w:t xml:space="preserve"> vaccine template, information can be referenced rather than </w:t>
      </w:r>
      <w:r w:rsidR="00643210">
        <w:rPr>
          <w:rFonts w:ascii="Times New Roman" w:hAnsi="Times New Roman" w:cs="Times New Roman"/>
          <w:sz w:val="24"/>
          <w:szCs w:val="24"/>
        </w:rPr>
        <w:t>duplicated.</w:t>
      </w:r>
      <w:r w:rsidR="00A12A38">
        <w:rPr>
          <w:rFonts w:ascii="Times New Roman" w:hAnsi="Times New Roman" w:cs="Times New Roman"/>
          <w:sz w:val="24"/>
          <w:szCs w:val="24"/>
        </w:rPr>
        <w:t xml:space="preserve">  </w:t>
      </w:r>
      <w:r w:rsidRPr="00783F18">
        <w:rPr>
          <w:rFonts w:ascii="Times New Roman" w:hAnsi="Times New Roman" w:cs="Times New Roman"/>
          <w:sz w:val="24"/>
          <w:szCs w:val="24"/>
        </w:rPr>
        <w:t xml:space="preserve">Sections and specific questions deemed not relevant to the B-R assessment for a particular vaccine can be left blank. When the module is used to plan for a future B-R assessment, the data sections will be left blank. </w:t>
      </w:r>
      <w:r w:rsidR="00020D35">
        <w:rPr>
          <w:rFonts w:ascii="Times New Roman" w:hAnsi="Times New Roman" w:cs="Times New Roman"/>
          <w:sz w:val="24"/>
          <w:szCs w:val="24"/>
        </w:rPr>
        <w:t xml:space="preserve">It should be </w:t>
      </w:r>
      <w:r w:rsidR="00020D35" w:rsidRPr="00783F18">
        <w:rPr>
          <w:rFonts w:ascii="Times New Roman" w:hAnsi="Times New Roman" w:cs="Times New Roman"/>
          <w:sz w:val="24"/>
          <w:szCs w:val="24"/>
        </w:rPr>
        <w:t>noted in the module</w:t>
      </w:r>
      <w:r w:rsidR="00020D35">
        <w:rPr>
          <w:rFonts w:ascii="Times New Roman" w:hAnsi="Times New Roman" w:cs="Times New Roman"/>
          <w:sz w:val="24"/>
          <w:szCs w:val="24"/>
        </w:rPr>
        <w:t>, w</w:t>
      </w:r>
      <w:r w:rsidRPr="00783F18">
        <w:rPr>
          <w:rFonts w:ascii="Times New Roman" w:hAnsi="Times New Roman" w:cs="Times New Roman"/>
          <w:sz w:val="24"/>
          <w:szCs w:val="24"/>
        </w:rPr>
        <w:t xml:space="preserve">hen the </w:t>
      </w:r>
      <w:r w:rsidR="00E91541">
        <w:rPr>
          <w:rFonts w:ascii="Times New Roman" w:hAnsi="Times New Roman" w:cs="Times New Roman"/>
          <w:sz w:val="24"/>
          <w:szCs w:val="24"/>
        </w:rPr>
        <w:t xml:space="preserve">document </w:t>
      </w:r>
      <w:r w:rsidRPr="00783F18">
        <w:rPr>
          <w:rFonts w:ascii="Times New Roman" w:hAnsi="Times New Roman" w:cs="Times New Roman"/>
          <w:sz w:val="24"/>
          <w:szCs w:val="24"/>
        </w:rPr>
        <w:t xml:space="preserve">is used for an assessment and data </w:t>
      </w:r>
      <w:r w:rsidR="00020D35">
        <w:rPr>
          <w:rFonts w:ascii="Times New Roman" w:hAnsi="Times New Roman" w:cs="Times New Roman"/>
          <w:sz w:val="24"/>
          <w:szCs w:val="24"/>
        </w:rPr>
        <w:t>are</w:t>
      </w:r>
      <w:r w:rsidRPr="00783F18">
        <w:rPr>
          <w:rFonts w:ascii="Times New Roman" w:hAnsi="Times New Roman" w:cs="Times New Roman"/>
          <w:sz w:val="24"/>
          <w:szCs w:val="24"/>
        </w:rPr>
        <w:t xml:space="preserve"> accumulating but not currently </w:t>
      </w:r>
      <w:proofErr w:type="gramStart"/>
      <w:r w:rsidRPr="00783F18">
        <w:rPr>
          <w:rFonts w:ascii="Times New Roman" w:hAnsi="Times New Roman" w:cs="Times New Roman"/>
          <w:sz w:val="24"/>
          <w:szCs w:val="24"/>
        </w:rPr>
        <w:t>available</w:t>
      </w:r>
      <w:r w:rsidR="00020D35">
        <w:rPr>
          <w:rFonts w:ascii="Times New Roman" w:hAnsi="Times New Roman" w:cs="Times New Roman"/>
          <w:sz w:val="24"/>
          <w:szCs w:val="24"/>
        </w:rPr>
        <w:t>.</w:t>
      </w:r>
      <w:r w:rsidRPr="00783F18">
        <w:rPr>
          <w:rFonts w:ascii="Times New Roman" w:hAnsi="Times New Roman" w:cs="Times New Roman"/>
          <w:sz w:val="24"/>
          <w:szCs w:val="24"/>
        </w:rPr>
        <w:t>.</w:t>
      </w:r>
      <w:proofErr w:type="gramEnd"/>
    </w:p>
    <w:p w14:paraId="0216D2DE" w14:textId="2424D62B"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 xml:space="preserve">As noted above, B-R assessment is a dynamic process, </w:t>
      </w:r>
      <w:r w:rsidR="0082074D">
        <w:rPr>
          <w:rFonts w:ascii="Times New Roman" w:hAnsi="Times New Roman" w:cs="Times New Roman"/>
          <w:sz w:val="24"/>
          <w:szCs w:val="24"/>
        </w:rPr>
        <w:t xml:space="preserve">as </w:t>
      </w:r>
      <w:r w:rsidRPr="00783F18">
        <w:rPr>
          <w:rFonts w:ascii="Times New Roman" w:hAnsi="Times New Roman" w:cs="Times New Roman"/>
          <w:sz w:val="24"/>
          <w:szCs w:val="24"/>
        </w:rPr>
        <w:t xml:space="preserve">the evaluation needs to be updated </w:t>
      </w:r>
      <w:r w:rsidR="00E91541">
        <w:rPr>
          <w:rFonts w:ascii="Times New Roman" w:hAnsi="Times New Roman" w:cs="Times New Roman"/>
          <w:sz w:val="24"/>
          <w:szCs w:val="24"/>
        </w:rPr>
        <w:t xml:space="preserve">as feasible </w:t>
      </w:r>
      <w:r w:rsidRPr="00783F18">
        <w:rPr>
          <w:rFonts w:ascii="Times New Roman" w:hAnsi="Times New Roman" w:cs="Times New Roman"/>
          <w:sz w:val="24"/>
          <w:szCs w:val="24"/>
        </w:rPr>
        <w:t xml:space="preserve">each time significant new data </w:t>
      </w:r>
      <w:proofErr w:type="gramStart"/>
      <w:r w:rsidRPr="00783F18">
        <w:rPr>
          <w:rFonts w:ascii="Times New Roman" w:hAnsi="Times New Roman" w:cs="Times New Roman"/>
          <w:sz w:val="24"/>
          <w:szCs w:val="24"/>
        </w:rPr>
        <w:t>emerge</w:t>
      </w:r>
      <w:proofErr w:type="gramEnd"/>
      <w:r w:rsidRPr="00783F18">
        <w:rPr>
          <w:rFonts w:ascii="Times New Roman" w:hAnsi="Times New Roman" w:cs="Times New Roman"/>
          <w:sz w:val="24"/>
          <w:szCs w:val="24"/>
        </w:rPr>
        <w:t>. It should be considered as an iterative process. However, there are situations where immediate decisions need to be made at an early phase with several uncertainties or unknowns, such as the detection of a safety signal or B-R for an EUA</w:t>
      </w:r>
      <w:r w:rsidR="0082074D">
        <w:rPr>
          <w:rFonts w:ascii="Times New Roman" w:hAnsi="Times New Roman" w:cs="Times New Roman"/>
          <w:sz w:val="24"/>
          <w:szCs w:val="24"/>
        </w:rPr>
        <w:t xml:space="preserve"> during a pandemic or epidemic</w:t>
      </w:r>
      <w:r w:rsidRPr="00783F18">
        <w:rPr>
          <w:rFonts w:ascii="Times New Roman" w:hAnsi="Times New Roman" w:cs="Times New Roman"/>
          <w:sz w:val="24"/>
          <w:szCs w:val="24"/>
        </w:rPr>
        <w:t xml:space="preserve">. B-R for EUA data will generally have considerably more unknowns than B-R for submission after pivotal phase 3 studies. This presents challenging situations </w:t>
      </w:r>
      <w:r w:rsidR="00020D35">
        <w:rPr>
          <w:rFonts w:ascii="Times New Roman" w:hAnsi="Times New Roman" w:cs="Times New Roman"/>
          <w:sz w:val="24"/>
          <w:szCs w:val="24"/>
        </w:rPr>
        <w:t>for</w:t>
      </w:r>
      <w:r w:rsidR="00020D35" w:rsidRPr="00783F18">
        <w:rPr>
          <w:rFonts w:ascii="Times New Roman" w:hAnsi="Times New Roman" w:cs="Times New Roman"/>
          <w:sz w:val="24"/>
          <w:szCs w:val="24"/>
        </w:rPr>
        <w:t xml:space="preserve"> </w:t>
      </w:r>
      <w:r w:rsidRPr="00783F18">
        <w:rPr>
          <w:rFonts w:ascii="Times New Roman" w:hAnsi="Times New Roman" w:cs="Times New Roman"/>
          <w:sz w:val="24"/>
          <w:szCs w:val="24"/>
        </w:rPr>
        <w:t xml:space="preserve">all affected parties. Decision-making </w:t>
      </w:r>
      <w:r w:rsidR="00844BEC">
        <w:rPr>
          <w:rFonts w:ascii="Times New Roman" w:hAnsi="Times New Roman" w:cs="Times New Roman"/>
          <w:sz w:val="24"/>
          <w:szCs w:val="24"/>
        </w:rPr>
        <w:t xml:space="preserve">is a dynamic process that </w:t>
      </w:r>
      <w:r w:rsidRPr="00783F18">
        <w:rPr>
          <w:rFonts w:ascii="Times New Roman" w:hAnsi="Times New Roman" w:cs="Times New Roman"/>
          <w:sz w:val="24"/>
          <w:szCs w:val="24"/>
        </w:rPr>
        <w:t xml:space="preserve">should be based on </w:t>
      </w:r>
      <w:r w:rsidR="006E4204">
        <w:rPr>
          <w:rFonts w:ascii="Times New Roman" w:hAnsi="Times New Roman" w:cs="Times New Roman"/>
          <w:sz w:val="24"/>
          <w:szCs w:val="24"/>
        </w:rPr>
        <w:t xml:space="preserve">the best </w:t>
      </w:r>
      <w:r w:rsidR="005E322A">
        <w:rPr>
          <w:rFonts w:ascii="Times New Roman" w:hAnsi="Times New Roman" w:cs="Times New Roman"/>
          <w:sz w:val="24"/>
          <w:szCs w:val="24"/>
        </w:rPr>
        <w:t xml:space="preserve">evidence </w:t>
      </w:r>
      <w:r w:rsidR="006E4204">
        <w:rPr>
          <w:rFonts w:ascii="Times New Roman" w:hAnsi="Times New Roman" w:cs="Times New Roman"/>
          <w:sz w:val="24"/>
          <w:szCs w:val="24"/>
        </w:rPr>
        <w:t xml:space="preserve">available at the time a decision is required, </w:t>
      </w:r>
      <w:r w:rsidRPr="00783F18">
        <w:rPr>
          <w:rFonts w:ascii="Times New Roman" w:hAnsi="Times New Roman" w:cs="Times New Roman"/>
          <w:sz w:val="24"/>
          <w:szCs w:val="24"/>
        </w:rPr>
        <w:lastRenderedPageBreak/>
        <w:t xml:space="preserve">and the unknowns and assumptions </w:t>
      </w:r>
      <w:r w:rsidR="006E4204">
        <w:rPr>
          <w:rFonts w:ascii="Times New Roman" w:hAnsi="Times New Roman" w:cs="Times New Roman"/>
          <w:sz w:val="24"/>
          <w:szCs w:val="24"/>
        </w:rPr>
        <w:t xml:space="preserve">should be </w:t>
      </w:r>
      <w:r w:rsidRPr="00783F18">
        <w:rPr>
          <w:rFonts w:ascii="Times New Roman" w:hAnsi="Times New Roman" w:cs="Times New Roman"/>
          <w:sz w:val="24"/>
          <w:szCs w:val="24"/>
        </w:rPr>
        <w:t xml:space="preserve">made transparent </w:t>
      </w:r>
      <w:r w:rsidR="005D17E3" w:rsidRPr="00783F18">
        <w:rPr>
          <w:rFonts w:ascii="Times New Roman" w:hAnsi="Times New Roman" w:cs="Times New Roman"/>
          <w:sz w:val="24"/>
          <w:szCs w:val="24"/>
        </w:rPr>
        <w:t>to</w:t>
      </w:r>
      <w:r w:rsidRPr="00783F18">
        <w:rPr>
          <w:rFonts w:ascii="Times New Roman" w:hAnsi="Times New Roman" w:cs="Times New Roman"/>
          <w:sz w:val="24"/>
          <w:szCs w:val="24"/>
        </w:rPr>
        <w:t xml:space="preserve"> maintain public confidence in both the decision-making process and public health use of the vaccine in question. It should also be kept in mind that B-R decisions and actions may differ based on country / regional needs, including vaccine supply, disease prevalence and severity, disease burden, vaccine effectiveness, vaccine safety and the availability of alternative vaccines or treatments, which may differ between low-</w:t>
      </w:r>
      <w:r w:rsidR="00020D35">
        <w:rPr>
          <w:rFonts w:ascii="Times New Roman" w:hAnsi="Times New Roman" w:cs="Times New Roman"/>
          <w:sz w:val="24"/>
          <w:szCs w:val="24"/>
        </w:rPr>
        <w:t xml:space="preserve"> and </w:t>
      </w:r>
      <w:r w:rsidRPr="00783F18">
        <w:rPr>
          <w:rFonts w:ascii="Times New Roman" w:hAnsi="Times New Roman" w:cs="Times New Roman"/>
          <w:sz w:val="24"/>
          <w:szCs w:val="24"/>
        </w:rPr>
        <w:t>middle</w:t>
      </w:r>
      <w:r w:rsidR="00020D35">
        <w:rPr>
          <w:rFonts w:ascii="Times New Roman" w:hAnsi="Times New Roman" w:cs="Times New Roman"/>
          <w:sz w:val="24"/>
          <w:szCs w:val="24"/>
        </w:rPr>
        <w:t>-</w:t>
      </w:r>
      <w:r w:rsidRPr="00783F18">
        <w:rPr>
          <w:rFonts w:ascii="Times New Roman" w:hAnsi="Times New Roman" w:cs="Times New Roman"/>
          <w:sz w:val="24"/>
          <w:szCs w:val="24"/>
        </w:rPr>
        <w:t xml:space="preserve">income </w:t>
      </w:r>
      <w:r w:rsidR="00177A30">
        <w:rPr>
          <w:rFonts w:ascii="Times New Roman" w:hAnsi="Times New Roman" w:cs="Times New Roman"/>
          <w:sz w:val="24"/>
          <w:szCs w:val="24"/>
        </w:rPr>
        <w:t xml:space="preserve">(LMICs) </w:t>
      </w:r>
      <w:r w:rsidRPr="00783F18">
        <w:rPr>
          <w:rFonts w:ascii="Times New Roman" w:hAnsi="Times New Roman" w:cs="Times New Roman"/>
          <w:sz w:val="24"/>
          <w:szCs w:val="24"/>
        </w:rPr>
        <w:t>and high</w:t>
      </w:r>
      <w:r w:rsidR="00020D35">
        <w:rPr>
          <w:rFonts w:ascii="Times New Roman" w:hAnsi="Times New Roman" w:cs="Times New Roman"/>
          <w:sz w:val="24"/>
          <w:szCs w:val="24"/>
        </w:rPr>
        <w:t>-</w:t>
      </w:r>
      <w:r w:rsidR="00522A9A">
        <w:rPr>
          <w:rFonts w:ascii="Times New Roman" w:hAnsi="Times New Roman" w:cs="Times New Roman"/>
          <w:sz w:val="24"/>
          <w:szCs w:val="24"/>
        </w:rPr>
        <w:t xml:space="preserve">income </w:t>
      </w:r>
      <w:r w:rsidR="008368CB">
        <w:rPr>
          <w:rFonts w:ascii="Times New Roman" w:hAnsi="Times New Roman" w:cs="Times New Roman"/>
          <w:sz w:val="24"/>
          <w:szCs w:val="24"/>
        </w:rPr>
        <w:t>countries (HICs)</w:t>
      </w:r>
      <w:r w:rsidRPr="00783F18">
        <w:rPr>
          <w:rFonts w:ascii="Times New Roman" w:hAnsi="Times New Roman" w:cs="Times New Roman"/>
          <w:sz w:val="24"/>
          <w:szCs w:val="24"/>
        </w:rPr>
        <w:t xml:space="preserve">. </w:t>
      </w:r>
    </w:p>
    <w:p w14:paraId="7A66C1D4" w14:textId="05FFA12A"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 xml:space="preserve">Accordingly, this module can be used as a living document. Sections can be skipped initially, when there are many unknowns, and incrementally completed as data accumulate. The parts of the module for which data are unknown can be left blank, potentially with comments that indicate plans to include that information when available. As data accumulate with vaccine usage, these parts can be more fully completed. The module can also be used as a collective repository for a growing body of information for B-R assessment. In that case, it can be used in a shared, collaborative manner, with different stakeholders adding or modifying entries as more data becomes available. </w:t>
      </w:r>
    </w:p>
    <w:p w14:paraId="5326D8DA" w14:textId="5BC7D097"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 xml:space="preserve">The Statistical Methods section of this module provides a place to describe data sources used and the general approach by which the key effectiveness and safety data are calculated. </w:t>
      </w:r>
      <w:r w:rsidRPr="00783F18">
        <w:rPr>
          <w:rFonts w:ascii="Times New Roman" w:hAnsi="Times New Roman" w:cs="Times New Roman"/>
          <w:b/>
          <w:sz w:val="24"/>
          <w:szCs w:val="24"/>
        </w:rPr>
        <w:t>This module is not intended to guide users in conducting the statistical or epidemiological calculations that provide the data used in B-R</w:t>
      </w:r>
      <w:r w:rsidRPr="00783F18">
        <w:rPr>
          <w:rFonts w:ascii="Times New Roman" w:hAnsi="Times New Roman" w:cs="Times New Roman"/>
          <w:sz w:val="24"/>
          <w:szCs w:val="24"/>
        </w:rPr>
        <w:t>. These calculations should be conducted by individual</w:t>
      </w:r>
      <w:r w:rsidR="00740867">
        <w:rPr>
          <w:rFonts w:ascii="Times New Roman" w:hAnsi="Times New Roman" w:cs="Times New Roman"/>
          <w:sz w:val="24"/>
          <w:szCs w:val="24"/>
        </w:rPr>
        <w:t>s</w:t>
      </w:r>
      <w:r w:rsidRPr="00783F18">
        <w:rPr>
          <w:rFonts w:ascii="Times New Roman" w:hAnsi="Times New Roman" w:cs="Times New Roman"/>
          <w:sz w:val="24"/>
          <w:szCs w:val="24"/>
        </w:rPr>
        <w:t xml:space="preserve"> with </w:t>
      </w:r>
      <w:r w:rsidR="006342B4">
        <w:rPr>
          <w:rFonts w:ascii="Times New Roman" w:hAnsi="Times New Roman" w:cs="Times New Roman"/>
          <w:sz w:val="24"/>
          <w:szCs w:val="24"/>
        </w:rPr>
        <w:t>sound</w:t>
      </w:r>
      <w:r w:rsidR="006342B4" w:rsidRPr="00783F18">
        <w:rPr>
          <w:rFonts w:ascii="Times New Roman" w:hAnsi="Times New Roman" w:cs="Times New Roman"/>
          <w:sz w:val="24"/>
          <w:szCs w:val="24"/>
        </w:rPr>
        <w:t xml:space="preserve"> </w:t>
      </w:r>
      <w:r w:rsidRPr="00783F18">
        <w:rPr>
          <w:rFonts w:ascii="Times New Roman" w:hAnsi="Times New Roman" w:cs="Times New Roman"/>
          <w:sz w:val="24"/>
          <w:szCs w:val="24"/>
        </w:rPr>
        <w:t>statistical and/or epidemiological skills. A report detailing these calculations can be attached to this module. Models that account for distribution, access, vaccine stability, vaccine hesitancy, herd immunity and other indirect effects can be included in these reports as well, with the resulting impact on effectiveness and safety included in the data entered.</w:t>
      </w:r>
    </w:p>
    <w:p w14:paraId="2B1D1122" w14:textId="7207D8AB" w:rsidR="00783F18" w:rsidRPr="00783F18" w:rsidRDefault="00783F18" w:rsidP="00362430">
      <w:pPr>
        <w:pBdr>
          <w:top w:val="nil"/>
          <w:left w:val="nil"/>
          <w:bottom w:val="nil"/>
          <w:right w:val="nil"/>
          <w:between w:val="nil"/>
        </w:pBd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lastRenderedPageBreak/>
        <w:t>Although other aspects of manufacturing, quality, and implementation can play a role in the B-R assessment of a vaccine</w:t>
      </w:r>
      <w:r w:rsidR="00740867">
        <w:rPr>
          <w:rFonts w:ascii="Times New Roman" w:hAnsi="Times New Roman" w:cs="Times New Roman"/>
          <w:sz w:val="24"/>
          <w:szCs w:val="24"/>
        </w:rPr>
        <w:t>/</w:t>
      </w:r>
      <w:r w:rsidRPr="00783F18">
        <w:rPr>
          <w:rFonts w:ascii="Times New Roman" w:hAnsi="Times New Roman" w:cs="Times New Roman"/>
          <w:sz w:val="24"/>
          <w:szCs w:val="24"/>
        </w:rPr>
        <w:t>vaccination</w:t>
      </w:r>
      <w:r w:rsidR="00740867">
        <w:rPr>
          <w:rFonts w:ascii="Times New Roman" w:hAnsi="Times New Roman" w:cs="Times New Roman"/>
          <w:sz w:val="24"/>
          <w:szCs w:val="24"/>
        </w:rPr>
        <w:t xml:space="preserve"> program</w:t>
      </w:r>
      <w:r w:rsidRPr="00783F18">
        <w:rPr>
          <w:rFonts w:ascii="Times New Roman" w:hAnsi="Times New Roman" w:cs="Times New Roman"/>
          <w:sz w:val="24"/>
          <w:szCs w:val="24"/>
        </w:rPr>
        <w:t xml:space="preserve">, those </w:t>
      </w:r>
      <w:r w:rsidR="00740867">
        <w:rPr>
          <w:rFonts w:ascii="Times New Roman" w:hAnsi="Times New Roman" w:cs="Times New Roman"/>
          <w:sz w:val="24"/>
          <w:szCs w:val="24"/>
        </w:rPr>
        <w:t>considerations</w:t>
      </w:r>
      <w:r w:rsidR="00740867" w:rsidRPr="00783F18">
        <w:rPr>
          <w:rFonts w:ascii="Times New Roman" w:hAnsi="Times New Roman" w:cs="Times New Roman"/>
          <w:sz w:val="24"/>
          <w:szCs w:val="24"/>
        </w:rPr>
        <w:t xml:space="preserve"> </w:t>
      </w:r>
      <w:r w:rsidR="002B47AC">
        <w:rPr>
          <w:rFonts w:ascii="Times New Roman" w:hAnsi="Times New Roman" w:cs="Times New Roman"/>
          <w:sz w:val="24"/>
          <w:szCs w:val="24"/>
        </w:rPr>
        <w:t xml:space="preserve">are </w:t>
      </w:r>
      <w:r w:rsidRPr="00783F18">
        <w:rPr>
          <w:rFonts w:ascii="Times New Roman" w:hAnsi="Times New Roman" w:cs="Times New Roman"/>
          <w:sz w:val="24"/>
          <w:szCs w:val="24"/>
        </w:rPr>
        <w:t xml:space="preserve">out of </w:t>
      </w:r>
      <w:r w:rsidR="00740867">
        <w:rPr>
          <w:rFonts w:ascii="Times New Roman" w:hAnsi="Times New Roman" w:cs="Times New Roman"/>
          <w:sz w:val="24"/>
          <w:szCs w:val="24"/>
        </w:rPr>
        <w:t xml:space="preserve">the </w:t>
      </w:r>
      <w:r w:rsidRPr="00783F18">
        <w:rPr>
          <w:rFonts w:ascii="Times New Roman" w:hAnsi="Times New Roman" w:cs="Times New Roman"/>
          <w:sz w:val="24"/>
          <w:szCs w:val="24"/>
        </w:rPr>
        <w:t xml:space="preserve">scope of the initial version of this module. However, </w:t>
      </w:r>
      <w:r w:rsidR="0093462A" w:rsidRPr="00783F18">
        <w:rPr>
          <w:rFonts w:ascii="Times New Roman" w:hAnsi="Times New Roman" w:cs="Times New Roman"/>
          <w:sz w:val="24"/>
          <w:szCs w:val="24"/>
        </w:rPr>
        <w:t>the</w:t>
      </w:r>
      <w:r w:rsidR="0093462A">
        <w:rPr>
          <w:rFonts w:ascii="Times New Roman" w:hAnsi="Times New Roman" w:cs="Times New Roman"/>
          <w:sz w:val="24"/>
          <w:szCs w:val="24"/>
        </w:rPr>
        <w:t>y</w:t>
      </w:r>
      <w:r w:rsidR="0093462A" w:rsidRPr="00783F18">
        <w:rPr>
          <w:rFonts w:ascii="Times New Roman" w:hAnsi="Times New Roman" w:cs="Times New Roman"/>
          <w:sz w:val="24"/>
          <w:szCs w:val="24"/>
        </w:rPr>
        <w:t xml:space="preserve"> </w:t>
      </w:r>
      <w:r w:rsidRPr="00783F18">
        <w:rPr>
          <w:rFonts w:ascii="Times New Roman" w:hAnsi="Times New Roman" w:cs="Times New Roman"/>
          <w:sz w:val="24"/>
          <w:szCs w:val="24"/>
        </w:rPr>
        <w:t>can be included in the attached calculations if appropriate. Patient preference studies may also be included in attached materials, providing a means to incorporate the patient perspective on acceptable B-R trade-offs in the assessment. Section 7 allows summarizing such studies.</w:t>
      </w:r>
    </w:p>
    <w:p w14:paraId="1526FDB3" w14:textId="3F077E28" w:rsidR="00783F18" w:rsidRPr="00783F18" w:rsidRDefault="00783F18" w:rsidP="00362430">
      <w:pPr>
        <w:pBdr>
          <w:top w:val="nil"/>
          <w:left w:val="nil"/>
          <w:bottom w:val="nil"/>
          <w:right w:val="nil"/>
          <w:between w:val="nil"/>
        </w:pBd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Note that, in the questions below, an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indicates </w:t>
      </w:r>
      <w:r w:rsidR="0093462A">
        <w:rPr>
          <w:rFonts w:ascii="Times New Roman" w:hAnsi="Times New Roman" w:cs="Times New Roman"/>
          <w:sz w:val="24"/>
          <w:szCs w:val="24"/>
        </w:rPr>
        <w:t xml:space="preserve">that </w:t>
      </w:r>
      <w:r w:rsidRPr="00783F18">
        <w:rPr>
          <w:rFonts w:ascii="Times New Roman" w:hAnsi="Times New Roman" w:cs="Times New Roman"/>
          <w:sz w:val="24"/>
          <w:szCs w:val="24"/>
        </w:rPr>
        <w:t>what follows is a list of example responses. Those lists are not exhaustive, and other responses can be used</w:t>
      </w:r>
      <w:r w:rsidR="00E662BA">
        <w:rPr>
          <w:rFonts w:ascii="Times New Roman" w:hAnsi="Times New Roman" w:cs="Times New Roman"/>
          <w:sz w:val="24"/>
          <w:szCs w:val="24"/>
        </w:rPr>
        <w:t xml:space="preserve"> instead</w:t>
      </w:r>
      <w:r w:rsidRPr="00783F18">
        <w:rPr>
          <w:rFonts w:ascii="Times New Roman" w:hAnsi="Times New Roman" w:cs="Times New Roman"/>
          <w:sz w:val="24"/>
          <w:szCs w:val="24"/>
        </w:rPr>
        <w:t>.</w:t>
      </w:r>
    </w:p>
    <w:p w14:paraId="10671D0B" w14:textId="77777777" w:rsidR="005467E4" w:rsidRPr="00783F18" w:rsidRDefault="005467E4" w:rsidP="005467E4">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This module also includes a glossary of key terms.</w:t>
      </w:r>
      <w:r>
        <w:rPr>
          <w:rFonts w:ascii="Times New Roman" w:hAnsi="Times New Roman" w:cs="Times New Roman"/>
          <w:sz w:val="24"/>
          <w:szCs w:val="24"/>
        </w:rPr>
        <w:t xml:space="preserve">  References for the vaccine being assessed should be included in a separate reference section at the end of this module.</w:t>
      </w:r>
    </w:p>
    <w:tbl>
      <w:tblPr>
        <w:tblW w:w="8980" w:type="dxa"/>
        <w:tblInd w:w="-1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8980"/>
      </w:tblGrid>
      <w:tr w:rsidR="00783F18" w:rsidRPr="00783F18" w14:paraId="291F68FB" w14:textId="77777777" w:rsidTr="008001AE">
        <w:tc>
          <w:tcPr>
            <w:tcW w:w="8980" w:type="dxa"/>
            <w:shd w:val="clear" w:color="auto" w:fill="FFFF99"/>
          </w:tcPr>
          <w:p w14:paraId="26996EC4" w14:textId="77777777" w:rsidR="00783F18" w:rsidRPr="00783F18" w:rsidRDefault="00783F18" w:rsidP="008001AE">
            <w:pPr>
              <w:rPr>
                <w:rFonts w:ascii="Times New Roman" w:hAnsi="Times New Roman" w:cs="Times New Roman"/>
                <w:b/>
                <w:sz w:val="24"/>
                <w:szCs w:val="24"/>
              </w:rPr>
            </w:pPr>
          </w:p>
          <w:p w14:paraId="673B09B0"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Section 1: Decision context</w:t>
            </w:r>
            <w:r w:rsidRPr="00783F18">
              <w:rPr>
                <w:rFonts w:ascii="Times New Roman" w:hAnsi="Times New Roman" w:cs="Times New Roman"/>
                <w:sz w:val="24"/>
                <w:szCs w:val="24"/>
              </w:rPr>
              <w:t xml:space="preserve">: </w:t>
            </w:r>
          </w:p>
          <w:p w14:paraId="5EEF9B23" w14:textId="77777777" w:rsidR="00783F18" w:rsidRPr="00783F18" w:rsidRDefault="00783F18" w:rsidP="008001AE">
            <w:pPr>
              <w:rPr>
                <w:rFonts w:ascii="Times New Roman" w:hAnsi="Times New Roman" w:cs="Times New Roman"/>
                <w:sz w:val="24"/>
                <w:szCs w:val="24"/>
              </w:rPr>
            </w:pPr>
          </w:p>
        </w:tc>
      </w:tr>
    </w:tbl>
    <w:p w14:paraId="3CFA7673" w14:textId="77777777" w:rsidR="009D7273" w:rsidRDefault="009D7273" w:rsidP="009F7AEB">
      <w:pPr>
        <w:spacing w:line="240" w:lineRule="auto"/>
        <w:rPr>
          <w:rFonts w:ascii="Times New Roman" w:hAnsi="Times New Roman" w:cs="Times New Roman"/>
          <w:sz w:val="24"/>
          <w:szCs w:val="24"/>
        </w:rPr>
      </w:pPr>
    </w:p>
    <w:p w14:paraId="071C8D4B" w14:textId="4CED4DF1" w:rsidR="00783F18" w:rsidRPr="00783F18" w:rsidRDefault="00783F18" w:rsidP="009D7273">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 xml:space="preserve">Specify the context for this benefit-risk (B-R) assessment. The context is a description of the decision being addressed and the role for this module, i.e., whether the module is being used for advanced planning of a B-R assessment, to report a completed assessment or to review a completed assessment. The decision context can be considered a summary of key background assumptions including the decision </w:t>
      </w:r>
      <w:r w:rsidR="005C3FF1">
        <w:rPr>
          <w:rFonts w:ascii="Times New Roman" w:hAnsi="Times New Roman" w:cs="Times New Roman"/>
          <w:sz w:val="24"/>
          <w:szCs w:val="24"/>
        </w:rPr>
        <w:t xml:space="preserve">to </w:t>
      </w:r>
      <w:r w:rsidRPr="00783F18">
        <w:rPr>
          <w:rFonts w:ascii="Times New Roman" w:hAnsi="Times New Roman" w:cs="Times New Roman"/>
          <w:sz w:val="24"/>
          <w:szCs w:val="24"/>
        </w:rPr>
        <w:t xml:space="preserve">be made, the comparator(s), the nature and clinical impact of the indication/disease, </w:t>
      </w:r>
      <w:r w:rsidR="005C3FF1">
        <w:rPr>
          <w:rFonts w:ascii="Times New Roman" w:hAnsi="Times New Roman" w:cs="Times New Roman"/>
          <w:sz w:val="24"/>
          <w:szCs w:val="24"/>
        </w:rPr>
        <w:t xml:space="preserve">the expected changes in disease incidence over time, </w:t>
      </w:r>
      <w:r w:rsidRPr="00783F18">
        <w:rPr>
          <w:rFonts w:ascii="Times New Roman" w:hAnsi="Times New Roman" w:cs="Times New Roman"/>
          <w:sz w:val="24"/>
          <w:szCs w:val="24"/>
        </w:rPr>
        <w:t xml:space="preserve">and unmet medical need (the key characteristics and limitations of other existing vaccines or treatments for this indication/disease, if any). Additional details include the assumed time horizon for the B-R assessment, and subgroups of </w:t>
      </w:r>
      <w:r w:rsidR="005E322A">
        <w:rPr>
          <w:rFonts w:ascii="Times New Roman" w:hAnsi="Times New Roman" w:cs="Times New Roman"/>
          <w:sz w:val="24"/>
          <w:szCs w:val="24"/>
        </w:rPr>
        <w:t xml:space="preserve">specific </w:t>
      </w:r>
      <w:r w:rsidRPr="00783F18">
        <w:rPr>
          <w:rFonts w:ascii="Times New Roman" w:hAnsi="Times New Roman" w:cs="Times New Roman"/>
          <w:sz w:val="24"/>
          <w:szCs w:val="24"/>
        </w:rPr>
        <w:t>interest</w:t>
      </w:r>
      <w:r w:rsidR="005E322A">
        <w:rPr>
          <w:rFonts w:ascii="Times New Roman" w:hAnsi="Times New Roman" w:cs="Times New Roman"/>
          <w:sz w:val="24"/>
          <w:szCs w:val="24"/>
        </w:rPr>
        <w:t xml:space="preserve"> for the assessment.</w:t>
      </w:r>
    </w:p>
    <w:p w14:paraId="6D652539" w14:textId="77777777" w:rsidR="00783F18" w:rsidRPr="00783F18" w:rsidRDefault="00783F18" w:rsidP="00783F18">
      <w:pPr>
        <w:rPr>
          <w:rFonts w:ascii="Times New Roman" w:hAnsi="Times New Roman" w:cs="Times New Roman"/>
          <w:sz w:val="24"/>
          <w:szCs w:val="24"/>
        </w:rPr>
      </w:pPr>
    </w:p>
    <w:tbl>
      <w:tblPr>
        <w:tblW w:w="9125" w:type="dxa"/>
        <w:tblInd w:w="-123" w:type="dxa"/>
        <w:tblBorders>
          <w:top w:val="nil"/>
          <w:left w:val="nil"/>
          <w:bottom w:val="nil"/>
          <w:right w:val="nil"/>
          <w:insideH w:val="nil"/>
          <w:insideV w:val="nil"/>
        </w:tblBorders>
        <w:tblLayout w:type="fixed"/>
        <w:tblLook w:val="0600" w:firstRow="0" w:lastRow="0" w:firstColumn="0" w:lastColumn="0" w:noHBand="1" w:noVBand="1"/>
      </w:tblPr>
      <w:tblGrid>
        <w:gridCol w:w="23"/>
        <w:gridCol w:w="3805"/>
        <w:gridCol w:w="37"/>
        <w:gridCol w:w="3780"/>
        <w:gridCol w:w="1438"/>
        <w:gridCol w:w="42"/>
      </w:tblGrid>
      <w:tr w:rsidR="00783F18" w:rsidRPr="00783F18" w14:paraId="4F9612D6" w14:textId="77777777" w:rsidTr="009F7AEB">
        <w:trPr>
          <w:gridBefore w:val="1"/>
          <w:gridAfter w:val="1"/>
          <w:wBefore w:w="23" w:type="dxa"/>
          <w:wAfter w:w="42" w:type="dxa"/>
          <w:trHeight w:val="530"/>
        </w:trPr>
        <w:tc>
          <w:tcPr>
            <w:tcW w:w="9060" w:type="dxa"/>
            <w:gridSpan w:val="4"/>
            <w:tcBorders>
              <w:top w:val="single" w:sz="18" w:space="0" w:color="000000"/>
              <w:left w:val="single" w:sz="18" w:space="0" w:color="000000"/>
              <w:bottom w:val="single" w:sz="18" w:space="0" w:color="000000"/>
              <w:right w:val="single" w:sz="18" w:space="0" w:color="000000"/>
            </w:tcBorders>
            <w:shd w:val="clear" w:color="auto" w:fill="FFFF99"/>
            <w:tcMar>
              <w:top w:w="100" w:type="dxa"/>
              <w:left w:w="100" w:type="dxa"/>
              <w:bottom w:w="100" w:type="dxa"/>
              <w:right w:w="100" w:type="dxa"/>
            </w:tcMar>
          </w:tcPr>
          <w:p w14:paraId="5C51F7A3" w14:textId="77777777" w:rsidR="00783F18" w:rsidRPr="00783F18" w:rsidRDefault="00783F18" w:rsidP="008001AE">
            <w:pPr>
              <w:spacing w:before="240" w:after="240"/>
              <w:rPr>
                <w:rFonts w:ascii="Times New Roman" w:hAnsi="Times New Roman" w:cs="Times New Roman"/>
                <w:b/>
                <w:sz w:val="24"/>
                <w:szCs w:val="24"/>
              </w:rPr>
            </w:pPr>
            <w:r w:rsidRPr="00783F18">
              <w:rPr>
                <w:rFonts w:ascii="Times New Roman" w:hAnsi="Times New Roman" w:cs="Times New Roman"/>
                <w:b/>
                <w:sz w:val="24"/>
                <w:szCs w:val="24"/>
              </w:rPr>
              <w:lastRenderedPageBreak/>
              <w:t>1A. Authorship and Role</w:t>
            </w:r>
          </w:p>
        </w:tc>
      </w:tr>
      <w:tr w:rsidR="00783F18" w:rsidRPr="00783F18" w14:paraId="5206634B" w14:textId="77777777" w:rsidTr="009F7AEB">
        <w:trPr>
          <w:gridBefore w:val="1"/>
          <w:gridAfter w:val="1"/>
          <w:wBefore w:w="23" w:type="dxa"/>
          <w:wAfter w:w="42" w:type="dxa"/>
          <w:trHeight w:val="515"/>
        </w:trPr>
        <w:tc>
          <w:tcPr>
            <w:tcW w:w="3805" w:type="dxa"/>
            <w:tcBorders>
              <w:top w:val="single" w:sz="18"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5D87CA" w14:textId="77777777" w:rsidR="00783F18" w:rsidRPr="00783F18" w:rsidRDefault="00783F18" w:rsidP="008001AE">
            <w:pPr>
              <w:spacing w:before="240" w:after="240"/>
              <w:rPr>
                <w:rFonts w:ascii="Times New Roman" w:hAnsi="Times New Roman" w:cs="Times New Roman"/>
                <w:b/>
                <w:sz w:val="24"/>
                <w:szCs w:val="24"/>
              </w:rPr>
            </w:pPr>
            <w:r w:rsidRPr="00783F18">
              <w:rPr>
                <w:rFonts w:ascii="Times New Roman" w:hAnsi="Times New Roman" w:cs="Times New Roman"/>
                <w:b/>
                <w:sz w:val="24"/>
                <w:szCs w:val="24"/>
              </w:rPr>
              <w:t>Author(s) and affiliation(s)</w:t>
            </w:r>
          </w:p>
        </w:tc>
        <w:tc>
          <w:tcPr>
            <w:tcW w:w="5255" w:type="dxa"/>
            <w:gridSpan w:val="3"/>
            <w:tcBorders>
              <w:top w:val="single" w:sz="18"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2F275F" w14:textId="77777777" w:rsidR="00783F18" w:rsidRPr="00783F18" w:rsidRDefault="00783F18" w:rsidP="008001AE">
            <w:pPr>
              <w:spacing w:before="240" w:after="240"/>
              <w:rPr>
                <w:rFonts w:ascii="Times New Roman" w:hAnsi="Times New Roman" w:cs="Times New Roman"/>
                <w:sz w:val="24"/>
                <w:szCs w:val="24"/>
              </w:rPr>
            </w:pPr>
            <w:r w:rsidRPr="00783F18">
              <w:rPr>
                <w:rFonts w:ascii="Times New Roman" w:hAnsi="Times New Roman" w:cs="Times New Roman"/>
                <w:sz w:val="24"/>
                <w:szCs w:val="24"/>
              </w:rPr>
              <w:t xml:space="preserve"> </w:t>
            </w:r>
          </w:p>
        </w:tc>
      </w:tr>
      <w:tr w:rsidR="00783F18" w:rsidRPr="00783F18" w14:paraId="3E92BE36" w14:textId="77777777" w:rsidTr="009F7AEB">
        <w:trPr>
          <w:gridBefore w:val="1"/>
          <w:gridAfter w:val="1"/>
          <w:wBefore w:w="23" w:type="dxa"/>
          <w:wAfter w:w="42" w:type="dxa"/>
          <w:trHeight w:val="485"/>
        </w:trPr>
        <w:tc>
          <w:tcPr>
            <w:tcW w:w="3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1C10C8" w14:textId="77777777" w:rsidR="00783F18" w:rsidRPr="00783F18" w:rsidRDefault="00783F18" w:rsidP="008001AE">
            <w:pPr>
              <w:spacing w:before="240" w:after="240"/>
              <w:rPr>
                <w:rFonts w:ascii="Times New Roman" w:hAnsi="Times New Roman" w:cs="Times New Roman"/>
                <w:sz w:val="24"/>
                <w:szCs w:val="24"/>
              </w:rPr>
            </w:pPr>
            <w:r w:rsidRPr="00783F18">
              <w:rPr>
                <w:rFonts w:ascii="Times New Roman" w:hAnsi="Times New Roman" w:cs="Times New Roman"/>
                <w:b/>
                <w:sz w:val="24"/>
                <w:szCs w:val="24"/>
              </w:rPr>
              <w:t>Date completed/updated</w:t>
            </w:r>
            <w:r w:rsidRPr="00783F18">
              <w:rPr>
                <w:rFonts w:ascii="Times New Roman" w:hAnsi="Times New Roman" w:cs="Times New Roman"/>
                <w:sz w:val="24"/>
                <w:szCs w:val="24"/>
                <w:vertAlign w:val="superscript"/>
              </w:rPr>
              <w:footnoteReference w:id="1"/>
            </w:r>
          </w:p>
        </w:tc>
        <w:tc>
          <w:tcPr>
            <w:tcW w:w="5255"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BCAF03" w14:textId="77777777" w:rsidR="00783F18" w:rsidRPr="00783F18" w:rsidRDefault="00783F18" w:rsidP="008001AE">
            <w:pPr>
              <w:spacing w:before="240" w:after="240"/>
              <w:rPr>
                <w:rFonts w:ascii="Times New Roman" w:hAnsi="Times New Roman" w:cs="Times New Roman"/>
                <w:sz w:val="24"/>
                <w:szCs w:val="24"/>
              </w:rPr>
            </w:pPr>
            <w:r w:rsidRPr="00783F18">
              <w:rPr>
                <w:rFonts w:ascii="Times New Roman" w:hAnsi="Times New Roman" w:cs="Times New Roman"/>
                <w:sz w:val="24"/>
                <w:szCs w:val="24"/>
              </w:rPr>
              <w:t xml:space="preserve"> </w:t>
            </w:r>
          </w:p>
        </w:tc>
      </w:tr>
      <w:tr w:rsidR="00783F18" w:rsidRPr="00783F18" w14:paraId="352AC744" w14:textId="77777777" w:rsidTr="009F7AEB">
        <w:trPr>
          <w:gridBefore w:val="1"/>
          <w:gridAfter w:val="1"/>
          <w:wBefore w:w="23" w:type="dxa"/>
          <w:wAfter w:w="42" w:type="dxa"/>
          <w:trHeight w:val="1051"/>
        </w:trPr>
        <w:tc>
          <w:tcPr>
            <w:tcW w:w="3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97F956" w14:textId="368B3606"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Module role:</w:t>
            </w:r>
            <w:r w:rsidRPr="00783F18">
              <w:rPr>
                <w:rFonts w:ascii="Times New Roman" w:hAnsi="Times New Roman" w:cs="Times New Roman"/>
                <w:sz w:val="24"/>
                <w:szCs w:val="24"/>
              </w:rPr>
              <w:br/>
              <w:t>Is this module currently being used to plan, report or review a B-R assessment?</w:t>
            </w:r>
          </w:p>
        </w:tc>
        <w:tc>
          <w:tcPr>
            <w:tcW w:w="5255"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4508F2"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Select one:</w:t>
            </w:r>
          </w:p>
          <w:p w14:paraId="3E75084D" w14:textId="77777777" w:rsidR="00783F18" w:rsidRPr="00783F18" w:rsidRDefault="00783F18" w:rsidP="00783F18">
            <w:pPr>
              <w:numPr>
                <w:ilvl w:val="0"/>
                <w:numId w:val="11"/>
              </w:numPr>
              <w:autoSpaceDE w:val="0"/>
              <w:autoSpaceDN w:val="0"/>
              <w:adjustRightInd w:val="0"/>
              <w:spacing w:after="0" w:line="240" w:lineRule="auto"/>
              <w:rPr>
                <w:rFonts w:ascii="Times New Roman" w:hAnsi="Times New Roman" w:cs="Times New Roman"/>
                <w:sz w:val="24"/>
                <w:szCs w:val="24"/>
              </w:rPr>
            </w:pPr>
            <w:r w:rsidRPr="00783F18">
              <w:rPr>
                <w:rFonts w:ascii="Times New Roman" w:hAnsi="Times New Roman" w:cs="Times New Roman"/>
                <w:sz w:val="24"/>
                <w:szCs w:val="24"/>
              </w:rPr>
              <w:t xml:space="preserve">Planning </w:t>
            </w:r>
          </w:p>
          <w:p w14:paraId="2ACC4A64" w14:textId="77777777" w:rsidR="00783F18" w:rsidRPr="00783F18" w:rsidRDefault="00783F18" w:rsidP="00783F18">
            <w:pPr>
              <w:numPr>
                <w:ilvl w:val="0"/>
                <w:numId w:val="11"/>
              </w:numPr>
              <w:autoSpaceDE w:val="0"/>
              <w:autoSpaceDN w:val="0"/>
              <w:adjustRightInd w:val="0"/>
              <w:spacing w:after="0" w:line="240" w:lineRule="auto"/>
              <w:rPr>
                <w:rFonts w:ascii="Times New Roman" w:hAnsi="Times New Roman" w:cs="Times New Roman"/>
                <w:sz w:val="24"/>
                <w:szCs w:val="24"/>
              </w:rPr>
            </w:pPr>
            <w:r w:rsidRPr="00783F18">
              <w:rPr>
                <w:rFonts w:ascii="Times New Roman" w:hAnsi="Times New Roman" w:cs="Times New Roman"/>
                <w:sz w:val="24"/>
                <w:szCs w:val="24"/>
              </w:rPr>
              <w:t>Reporting</w:t>
            </w:r>
          </w:p>
          <w:p w14:paraId="7A4E9EB0" w14:textId="77777777" w:rsidR="00783F18" w:rsidRPr="00783F18" w:rsidRDefault="00783F18" w:rsidP="00783F18">
            <w:pPr>
              <w:numPr>
                <w:ilvl w:val="0"/>
                <w:numId w:val="11"/>
              </w:numPr>
              <w:autoSpaceDE w:val="0"/>
              <w:autoSpaceDN w:val="0"/>
              <w:adjustRightInd w:val="0"/>
              <w:spacing w:after="0" w:line="240" w:lineRule="auto"/>
              <w:rPr>
                <w:rFonts w:ascii="Times New Roman" w:hAnsi="Times New Roman" w:cs="Times New Roman"/>
                <w:sz w:val="24"/>
                <w:szCs w:val="24"/>
              </w:rPr>
            </w:pPr>
            <w:r w:rsidRPr="00783F18">
              <w:rPr>
                <w:rFonts w:ascii="Times New Roman" w:hAnsi="Times New Roman" w:cs="Times New Roman"/>
                <w:sz w:val="24"/>
                <w:szCs w:val="24"/>
              </w:rPr>
              <w:t>Reviewing</w:t>
            </w:r>
          </w:p>
        </w:tc>
      </w:tr>
      <w:tr w:rsidR="00783F18" w:rsidRPr="00783F18" w14:paraId="5880C120" w14:textId="77777777" w:rsidTr="009F7A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413"/>
        </w:trPr>
        <w:tc>
          <w:tcPr>
            <w:tcW w:w="9125" w:type="dxa"/>
            <w:gridSpan w:val="6"/>
            <w:tcBorders>
              <w:top w:val="nil"/>
              <w:left w:val="nil"/>
              <w:bottom w:val="single" w:sz="18" w:space="0" w:color="000000"/>
              <w:right w:val="nil"/>
            </w:tcBorders>
            <w:shd w:val="clear" w:color="auto" w:fill="FFFFFF"/>
            <w:vAlign w:val="bottom"/>
          </w:tcPr>
          <w:p w14:paraId="27B4A73E" w14:textId="77777777" w:rsidR="00783F18" w:rsidRPr="00783F18" w:rsidRDefault="00783F18" w:rsidP="008001AE">
            <w:pPr>
              <w:rPr>
                <w:rFonts w:ascii="Times New Roman" w:hAnsi="Times New Roman" w:cs="Times New Roman"/>
                <w:sz w:val="24"/>
                <w:szCs w:val="24"/>
              </w:rPr>
            </w:pPr>
          </w:p>
        </w:tc>
      </w:tr>
      <w:tr w:rsidR="00783F18" w:rsidRPr="00783F18" w14:paraId="1B2F6EAC" w14:textId="77777777" w:rsidTr="009F7A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664"/>
        </w:trPr>
        <w:tc>
          <w:tcPr>
            <w:tcW w:w="9125" w:type="dxa"/>
            <w:gridSpan w:val="6"/>
            <w:tcBorders>
              <w:top w:val="single" w:sz="18" w:space="0" w:color="000000"/>
              <w:left w:val="single" w:sz="18" w:space="0" w:color="000000"/>
              <w:bottom w:val="single" w:sz="18" w:space="0" w:color="000000"/>
              <w:right w:val="single" w:sz="18" w:space="0" w:color="000000"/>
            </w:tcBorders>
            <w:shd w:val="clear" w:color="auto" w:fill="FFFF99"/>
            <w:vAlign w:val="center"/>
          </w:tcPr>
          <w:p w14:paraId="5E7DCD07" w14:textId="77777777" w:rsidR="00783F18" w:rsidRPr="00783F18" w:rsidRDefault="00783F18" w:rsidP="008001AE">
            <w:pPr>
              <w:spacing w:before="240" w:after="240"/>
              <w:rPr>
                <w:rFonts w:ascii="Times New Roman" w:hAnsi="Times New Roman" w:cs="Times New Roman"/>
                <w:b/>
                <w:sz w:val="24"/>
                <w:szCs w:val="24"/>
              </w:rPr>
            </w:pPr>
            <w:r w:rsidRPr="00783F18">
              <w:rPr>
                <w:rFonts w:ascii="Times New Roman" w:hAnsi="Times New Roman" w:cs="Times New Roman"/>
                <w:b/>
                <w:sz w:val="24"/>
                <w:szCs w:val="24"/>
              </w:rPr>
              <w:t>1B. Vaccine of Interest Topics</w:t>
            </w:r>
          </w:p>
        </w:tc>
      </w:tr>
      <w:tr w:rsidR="00783F18" w:rsidRPr="00783F18" w14:paraId="76CD3AFA" w14:textId="77777777" w:rsidTr="009F7A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865" w:type="dxa"/>
            <w:gridSpan w:val="3"/>
            <w:tcBorders>
              <w:top w:val="single" w:sz="18" w:space="0" w:color="000000"/>
            </w:tcBorders>
            <w:shd w:val="clear" w:color="auto" w:fill="FFFFFF"/>
          </w:tcPr>
          <w:p w14:paraId="05B569E5"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Question</w:t>
            </w:r>
          </w:p>
        </w:tc>
        <w:tc>
          <w:tcPr>
            <w:tcW w:w="3780" w:type="dxa"/>
            <w:tcBorders>
              <w:top w:val="single" w:sz="18" w:space="0" w:color="000000"/>
            </w:tcBorders>
          </w:tcPr>
          <w:p w14:paraId="1BAC2C84"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Responses</w:t>
            </w:r>
          </w:p>
        </w:tc>
        <w:tc>
          <w:tcPr>
            <w:tcW w:w="1480" w:type="dxa"/>
            <w:gridSpan w:val="2"/>
            <w:tcBorders>
              <w:top w:val="single" w:sz="18" w:space="0" w:color="000000"/>
            </w:tcBorders>
          </w:tcPr>
          <w:p w14:paraId="373491E1"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Comments</w:t>
            </w:r>
          </w:p>
        </w:tc>
      </w:tr>
      <w:tr w:rsidR="00783F18" w:rsidRPr="00783F18" w14:paraId="4CF66398" w14:textId="77777777" w:rsidTr="009F7A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865" w:type="dxa"/>
            <w:gridSpan w:val="3"/>
            <w:shd w:val="clear" w:color="auto" w:fill="FFFFFF"/>
          </w:tcPr>
          <w:p w14:paraId="3A5C8BA5" w14:textId="7E15ED16"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Vaccine of Interest:</w:t>
            </w:r>
            <w:r w:rsidRPr="00783F18">
              <w:rPr>
                <w:rFonts w:ascii="Times New Roman" w:hAnsi="Times New Roman" w:cs="Times New Roman"/>
                <w:sz w:val="24"/>
                <w:szCs w:val="24"/>
              </w:rPr>
              <w:br/>
              <w:t>What is the vaccine being studied (type or platform, producer</w:t>
            </w:r>
            <w:r w:rsidR="00FB7FD0">
              <w:rPr>
                <w:rFonts w:ascii="Times New Roman" w:hAnsi="Times New Roman" w:cs="Times New Roman"/>
                <w:sz w:val="24"/>
                <w:szCs w:val="24"/>
              </w:rPr>
              <w:t>)</w:t>
            </w:r>
            <w:r w:rsidRPr="00783F18">
              <w:rPr>
                <w:rFonts w:ascii="Times New Roman" w:hAnsi="Times New Roman" w:cs="Times New Roman"/>
                <w:sz w:val="24"/>
                <w:szCs w:val="24"/>
              </w:rPr>
              <w:t>?</w:t>
            </w:r>
          </w:p>
        </w:tc>
        <w:tc>
          <w:tcPr>
            <w:tcW w:w="3780" w:type="dxa"/>
          </w:tcPr>
          <w:p w14:paraId="0B66187A" w14:textId="77777777" w:rsidR="00783F18" w:rsidRPr="00783F18" w:rsidRDefault="00783F18" w:rsidP="008001AE">
            <w:pPr>
              <w:rPr>
                <w:rFonts w:ascii="Times New Roman" w:hAnsi="Times New Roman" w:cs="Times New Roman"/>
                <w:sz w:val="24"/>
                <w:szCs w:val="24"/>
              </w:rPr>
            </w:pPr>
          </w:p>
        </w:tc>
        <w:tc>
          <w:tcPr>
            <w:tcW w:w="1480" w:type="dxa"/>
            <w:gridSpan w:val="2"/>
          </w:tcPr>
          <w:p w14:paraId="66C5CA7F" w14:textId="77777777" w:rsidR="00783F18" w:rsidRPr="00783F18" w:rsidRDefault="00783F18" w:rsidP="008001AE">
            <w:pPr>
              <w:rPr>
                <w:rFonts w:ascii="Times New Roman" w:hAnsi="Times New Roman" w:cs="Times New Roman"/>
                <w:sz w:val="24"/>
                <w:szCs w:val="24"/>
              </w:rPr>
            </w:pPr>
          </w:p>
        </w:tc>
      </w:tr>
      <w:tr w:rsidR="00783F18" w:rsidRPr="00783F18" w14:paraId="7DC885C8" w14:textId="77777777" w:rsidTr="009F7A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865" w:type="dxa"/>
            <w:gridSpan w:val="3"/>
            <w:shd w:val="clear" w:color="auto" w:fill="FFFFFF"/>
          </w:tcPr>
          <w:p w14:paraId="2357A8EB"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 xml:space="preserve">Formulation / Regimen / Schedule of the vaccine of interest: </w:t>
            </w:r>
          </w:p>
          <w:p w14:paraId="74F80C05" w14:textId="06AC1FB4"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sz w:val="24"/>
                <w:szCs w:val="24"/>
              </w:rPr>
              <w:t>Specify the formulation (e.g.</w:t>
            </w:r>
            <w:r w:rsidR="000051AF">
              <w:rPr>
                <w:rFonts w:ascii="Times New Roman" w:hAnsi="Times New Roman" w:cs="Times New Roman"/>
                <w:sz w:val="24"/>
                <w:szCs w:val="24"/>
              </w:rPr>
              <w:t>,</w:t>
            </w:r>
            <w:r w:rsidRPr="00783F18">
              <w:rPr>
                <w:rFonts w:ascii="Times New Roman" w:hAnsi="Times New Roman" w:cs="Times New Roman"/>
                <w:sz w:val="24"/>
                <w:szCs w:val="24"/>
              </w:rPr>
              <w:t xml:space="preserve"> oral, IM, IV, IN), schedule (e.g.</w:t>
            </w:r>
            <w:r w:rsidR="000051AF">
              <w:rPr>
                <w:rFonts w:ascii="Times New Roman" w:hAnsi="Times New Roman" w:cs="Times New Roman"/>
                <w:sz w:val="24"/>
                <w:szCs w:val="24"/>
              </w:rPr>
              <w:t>,</w:t>
            </w:r>
            <w:r w:rsidRPr="00783F18">
              <w:rPr>
                <w:rFonts w:ascii="Times New Roman" w:hAnsi="Times New Roman" w:cs="Times New Roman"/>
                <w:sz w:val="24"/>
                <w:szCs w:val="24"/>
              </w:rPr>
              <w:t xml:space="preserve"> primary series, booster, homologous or heterologous priming, homologous or heterologous boosting) </w:t>
            </w:r>
          </w:p>
        </w:tc>
        <w:tc>
          <w:tcPr>
            <w:tcW w:w="3780" w:type="dxa"/>
          </w:tcPr>
          <w:p w14:paraId="6AF2150C" w14:textId="77777777" w:rsidR="00783F18" w:rsidRPr="00783F18" w:rsidRDefault="00783F18" w:rsidP="008001AE">
            <w:pPr>
              <w:rPr>
                <w:rFonts w:ascii="Times New Roman" w:hAnsi="Times New Roman" w:cs="Times New Roman"/>
                <w:sz w:val="24"/>
                <w:szCs w:val="24"/>
              </w:rPr>
            </w:pPr>
          </w:p>
        </w:tc>
        <w:tc>
          <w:tcPr>
            <w:tcW w:w="1480" w:type="dxa"/>
            <w:gridSpan w:val="2"/>
          </w:tcPr>
          <w:p w14:paraId="641E69AA" w14:textId="77777777" w:rsidR="00783F18" w:rsidRPr="00783F18" w:rsidRDefault="00783F18" w:rsidP="008001AE">
            <w:pPr>
              <w:rPr>
                <w:rFonts w:ascii="Times New Roman" w:hAnsi="Times New Roman" w:cs="Times New Roman"/>
                <w:sz w:val="24"/>
                <w:szCs w:val="24"/>
              </w:rPr>
            </w:pPr>
          </w:p>
        </w:tc>
      </w:tr>
      <w:tr w:rsidR="00783F18" w:rsidRPr="00783F18" w14:paraId="1565E91D" w14:textId="77777777" w:rsidTr="009F7A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865" w:type="dxa"/>
            <w:gridSpan w:val="3"/>
            <w:shd w:val="clear" w:color="auto" w:fill="FFFFFF"/>
          </w:tcPr>
          <w:p w14:paraId="10C1407F"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Vaccine Development/Lifecycle stage:</w:t>
            </w:r>
          </w:p>
          <w:p w14:paraId="60D3FEE8" w14:textId="07581A7D"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sz w:val="24"/>
                <w:szCs w:val="24"/>
              </w:rPr>
              <w:t>For what lifecycle stage is this B-R assessment? (e.g.</w:t>
            </w:r>
            <w:r w:rsidR="000051AF">
              <w:rPr>
                <w:rFonts w:ascii="Times New Roman" w:hAnsi="Times New Roman" w:cs="Times New Roman"/>
                <w:sz w:val="24"/>
                <w:szCs w:val="24"/>
              </w:rPr>
              <w:t>,</w:t>
            </w:r>
            <w:r w:rsidRPr="00783F18">
              <w:rPr>
                <w:rFonts w:ascii="Times New Roman" w:hAnsi="Times New Roman" w:cs="Times New Roman"/>
                <w:sz w:val="24"/>
                <w:szCs w:val="24"/>
              </w:rPr>
              <w:t xml:space="preserve"> early development, phase 3, submission, emergency use authorization (EUA)/conditional marketing approval (CMA)/emergency use listing (EUL), post-approval, public health decision-making) </w:t>
            </w:r>
          </w:p>
        </w:tc>
        <w:tc>
          <w:tcPr>
            <w:tcW w:w="3780" w:type="dxa"/>
          </w:tcPr>
          <w:p w14:paraId="3FE70204" w14:textId="77777777" w:rsidR="00783F18" w:rsidRPr="00783F18" w:rsidRDefault="00783F18" w:rsidP="008001AE">
            <w:pPr>
              <w:rPr>
                <w:rFonts w:ascii="Times New Roman" w:hAnsi="Times New Roman" w:cs="Times New Roman"/>
                <w:sz w:val="24"/>
                <w:szCs w:val="24"/>
              </w:rPr>
            </w:pPr>
          </w:p>
        </w:tc>
        <w:tc>
          <w:tcPr>
            <w:tcW w:w="1480" w:type="dxa"/>
            <w:gridSpan w:val="2"/>
          </w:tcPr>
          <w:p w14:paraId="1C453756" w14:textId="77777777" w:rsidR="00783F18" w:rsidRPr="00783F18" w:rsidRDefault="00783F18" w:rsidP="008001AE">
            <w:pPr>
              <w:rPr>
                <w:rFonts w:ascii="Times New Roman" w:hAnsi="Times New Roman" w:cs="Times New Roman"/>
                <w:sz w:val="24"/>
                <w:szCs w:val="24"/>
              </w:rPr>
            </w:pPr>
          </w:p>
          <w:p w14:paraId="26689697" w14:textId="77777777" w:rsidR="00783F18" w:rsidRPr="00783F18" w:rsidRDefault="00783F18" w:rsidP="008001AE">
            <w:pPr>
              <w:rPr>
                <w:rFonts w:ascii="Times New Roman" w:hAnsi="Times New Roman" w:cs="Times New Roman"/>
                <w:sz w:val="24"/>
                <w:szCs w:val="24"/>
              </w:rPr>
            </w:pPr>
          </w:p>
        </w:tc>
      </w:tr>
      <w:tr w:rsidR="00783F18" w:rsidRPr="00783F18" w14:paraId="66E7CDEF" w14:textId="77777777" w:rsidTr="009F7A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865" w:type="dxa"/>
            <w:gridSpan w:val="3"/>
            <w:shd w:val="clear" w:color="auto" w:fill="FFFFFF"/>
          </w:tcPr>
          <w:p w14:paraId="01ACB13D"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lastRenderedPageBreak/>
              <w:t xml:space="preserve">Objective of the vaccine of interest immunization program: </w:t>
            </w:r>
          </w:p>
          <w:p w14:paraId="102AFCE8" w14:textId="59FCDE43"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sz w:val="24"/>
                <w:szCs w:val="24"/>
              </w:rPr>
              <w:t>What are/were the key objectives of the immunization program for the vaccine of interest?  If the objective varies by region, describe the objective/s and regions. (e.g.</w:t>
            </w:r>
            <w:r w:rsidR="000051AF">
              <w:rPr>
                <w:rFonts w:ascii="Times New Roman" w:hAnsi="Times New Roman" w:cs="Times New Roman"/>
                <w:sz w:val="24"/>
                <w:szCs w:val="24"/>
              </w:rPr>
              <w:t>,</w:t>
            </w:r>
            <w:r w:rsidRPr="00783F18">
              <w:rPr>
                <w:rFonts w:ascii="Times New Roman" w:hAnsi="Times New Roman" w:cs="Times New Roman"/>
                <w:sz w:val="24"/>
                <w:szCs w:val="24"/>
              </w:rPr>
              <w:t xml:space="preserve"> mortality prevention, severe </w:t>
            </w:r>
            <w:r w:rsidR="005D17E3" w:rsidRPr="00783F18">
              <w:rPr>
                <w:rFonts w:ascii="Times New Roman" w:hAnsi="Times New Roman" w:cs="Times New Roman"/>
                <w:sz w:val="24"/>
                <w:szCs w:val="24"/>
              </w:rPr>
              <w:t>disease (</w:t>
            </w:r>
            <w:proofErr w:type="gramStart"/>
            <w:r w:rsidRPr="00783F18">
              <w:rPr>
                <w:rFonts w:ascii="Times New Roman" w:hAnsi="Times New Roman" w:cs="Times New Roman"/>
                <w:sz w:val="24"/>
                <w:szCs w:val="24"/>
              </w:rPr>
              <w:t>i.e.</w:t>
            </w:r>
            <w:proofErr w:type="gramEnd"/>
            <w:r w:rsidRPr="00783F18">
              <w:rPr>
                <w:rFonts w:ascii="Times New Roman" w:hAnsi="Times New Roman" w:cs="Times New Roman"/>
                <w:sz w:val="24"/>
                <w:szCs w:val="24"/>
              </w:rPr>
              <w:t xml:space="preserve"> hospitalization) prevention, preventing health system overload (i.e. hospitalization, ICU), achieving herd immunity, eradication for specific regions, global eradication, preventing outbreaks, etc.)</w:t>
            </w:r>
          </w:p>
        </w:tc>
        <w:tc>
          <w:tcPr>
            <w:tcW w:w="3780" w:type="dxa"/>
          </w:tcPr>
          <w:p w14:paraId="5C351045" w14:textId="77777777" w:rsidR="00783F18" w:rsidRPr="00783F18" w:rsidRDefault="00783F18" w:rsidP="008001AE">
            <w:pPr>
              <w:rPr>
                <w:rFonts w:ascii="Times New Roman" w:hAnsi="Times New Roman" w:cs="Times New Roman"/>
                <w:sz w:val="24"/>
                <w:szCs w:val="24"/>
              </w:rPr>
            </w:pPr>
          </w:p>
        </w:tc>
        <w:tc>
          <w:tcPr>
            <w:tcW w:w="1480" w:type="dxa"/>
            <w:gridSpan w:val="2"/>
          </w:tcPr>
          <w:p w14:paraId="7ABE058C"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w:t>
            </w:r>
          </w:p>
        </w:tc>
      </w:tr>
      <w:tr w:rsidR="00783F18" w:rsidRPr="00783F18" w14:paraId="184BECB5" w14:textId="77777777" w:rsidTr="009F7A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40"/>
        </w:trPr>
        <w:tc>
          <w:tcPr>
            <w:tcW w:w="9125" w:type="dxa"/>
            <w:gridSpan w:val="6"/>
            <w:tcBorders>
              <w:left w:val="nil"/>
              <w:bottom w:val="single" w:sz="18" w:space="0" w:color="000000"/>
              <w:right w:val="nil"/>
            </w:tcBorders>
            <w:shd w:val="clear" w:color="auto" w:fill="FFFFFF"/>
            <w:vAlign w:val="bottom"/>
          </w:tcPr>
          <w:p w14:paraId="65D43040" w14:textId="77777777" w:rsidR="00783F18" w:rsidRPr="00783F18" w:rsidRDefault="00783F18" w:rsidP="008001AE">
            <w:pPr>
              <w:rPr>
                <w:rFonts w:ascii="Times New Roman" w:hAnsi="Times New Roman" w:cs="Times New Roman"/>
                <w:b/>
                <w:sz w:val="24"/>
                <w:szCs w:val="24"/>
              </w:rPr>
            </w:pPr>
          </w:p>
        </w:tc>
      </w:tr>
      <w:tr w:rsidR="00783F18" w:rsidRPr="00783F18" w14:paraId="16615FFD" w14:textId="77777777" w:rsidTr="009F7A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720"/>
        </w:trPr>
        <w:tc>
          <w:tcPr>
            <w:tcW w:w="9125" w:type="dxa"/>
            <w:gridSpan w:val="6"/>
            <w:tcBorders>
              <w:top w:val="single" w:sz="18" w:space="0" w:color="000000"/>
              <w:left w:val="single" w:sz="18" w:space="0" w:color="000000"/>
              <w:bottom w:val="single" w:sz="18" w:space="0" w:color="000000"/>
              <w:right w:val="single" w:sz="18" w:space="0" w:color="000000"/>
            </w:tcBorders>
            <w:shd w:val="clear" w:color="auto" w:fill="FFFF99"/>
            <w:vAlign w:val="center"/>
          </w:tcPr>
          <w:p w14:paraId="33C48CFC"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1C. Disease and Treatments Topics</w:t>
            </w:r>
          </w:p>
        </w:tc>
      </w:tr>
      <w:tr w:rsidR="00783F18" w:rsidRPr="00783F18" w14:paraId="7CA20B6E" w14:textId="77777777" w:rsidTr="009F7A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865" w:type="dxa"/>
            <w:gridSpan w:val="3"/>
            <w:tcBorders>
              <w:top w:val="single" w:sz="18" w:space="0" w:color="000000"/>
            </w:tcBorders>
            <w:shd w:val="clear" w:color="auto" w:fill="FFFFFF"/>
          </w:tcPr>
          <w:p w14:paraId="30AC287B"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Question</w:t>
            </w:r>
          </w:p>
        </w:tc>
        <w:tc>
          <w:tcPr>
            <w:tcW w:w="3780" w:type="dxa"/>
            <w:tcBorders>
              <w:top w:val="single" w:sz="18" w:space="0" w:color="000000"/>
            </w:tcBorders>
          </w:tcPr>
          <w:p w14:paraId="5799B9AB"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Responses</w:t>
            </w:r>
          </w:p>
        </w:tc>
        <w:tc>
          <w:tcPr>
            <w:tcW w:w="1480" w:type="dxa"/>
            <w:gridSpan w:val="2"/>
            <w:tcBorders>
              <w:top w:val="single" w:sz="18" w:space="0" w:color="000000"/>
            </w:tcBorders>
          </w:tcPr>
          <w:p w14:paraId="3F74BDCC"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Comments</w:t>
            </w:r>
          </w:p>
        </w:tc>
      </w:tr>
      <w:tr w:rsidR="00783F18" w:rsidRPr="00783F18" w14:paraId="3DCD5718" w14:textId="77777777" w:rsidTr="009F7A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865" w:type="dxa"/>
            <w:gridSpan w:val="3"/>
            <w:shd w:val="clear" w:color="auto" w:fill="FFFFFF"/>
          </w:tcPr>
          <w:p w14:paraId="6F9D705F"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Disease of interest:</w:t>
            </w:r>
          </w:p>
          <w:p w14:paraId="05ECDEA2"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What is the disease (or indication) for which the vaccine will be /is used?</w:t>
            </w:r>
          </w:p>
        </w:tc>
        <w:tc>
          <w:tcPr>
            <w:tcW w:w="3780" w:type="dxa"/>
          </w:tcPr>
          <w:p w14:paraId="6B25928A" w14:textId="77777777" w:rsidR="00783F18" w:rsidRPr="00783F18" w:rsidRDefault="00783F18" w:rsidP="008001AE">
            <w:pPr>
              <w:rPr>
                <w:rFonts w:ascii="Times New Roman" w:hAnsi="Times New Roman" w:cs="Times New Roman"/>
                <w:sz w:val="24"/>
                <w:szCs w:val="24"/>
              </w:rPr>
            </w:pPr>
          </w:p>
        </w:tc>
        <w:tc>
          <w:tcPr>
            <w:tcW w:w="1480" w:type="dxa"/>
            <w:gridSpan w:val="2"/>
          </w:tcPr>
          <w:p w14:paraId="1B739FFC" w14:textId="77777777" w:rsidR="00783F18" w:rsidRPr="00783F18" w:rsidRDefault="00783F18" w:rsidP="008001AE">
            <w:pPr>
              <w:rPr>
                <w:rFonts w:ascii="Times New Roman" w:hAnsi="Times New Roman" w:cs="Times New Roman"/>
                <w:sz w:val="24"/>
                <w:szCs w:val="24"/>
              </w:rPr>
            </w:pPr>
          </w:p>
        </w:tc>
      </w:tr>
      <w:tr w:rsidR="00783F18" w:rsidRPr="00783F18" w14:paraId="4ADBAD29" w14:textId="77777777" w:rsidTr="009F7A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3865" w:type="dxa"/>
            <w:gridSpan w:val="3"/>
            <w:shd w:val="clear" w:color="auto" w:fill="FFFFFF"/>
          </w:tcPr>
          <w:p w14:paraId="099317AD"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Population of interest:</w:t>
            </w:r>
          </w:p>
          <w:p w14:paraId="7B1F9C63" w14:textId="5F007FD5"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What is the population intended for this vaccine benefit-risk assessment? (e.g., adults </w:t>
            </w:r>
            <w:r w:rsidRPr="00783F18">
              <w:rPr>
                <w:rFonts w:ascii="Times New Roman" w:eastAsia="Arial Unicode MS" w:hAnsi="Times New Roman" w:cs="Times New Roman"/>
                <w:color w:val="202124"/>
                <w:sz w:val="24"/>
                <w:szCs w:val="24"/>
                <w:highlight w:val="white"/>
              </w:rPr>
              <w:t>≥</w:t>
            </w:r>
            <w:r w:rsidRPr="00783F18">
              <w:rPr>
                <w:rFonts w:ascii="Times New Roman" w:hAnsi="Times New Roman" w:cs="Times New Roman"/>
                <w:sz w:val="24"/>
                <w:szCs w:val="24"/>
              </w:rPr>
              <w:t>18 years worldwide, children 12-17 years). Note that subgroups of interest are listed below.</w:t>
            </w:r>
          </w:p>
          <w:p w14:paraId="7C087C54" w14:textId="0711663C"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If relevant, describe potential differences between the trial population and the target population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difference in baseline risk due to higher level of comorbidities in the target populations in a region / country)</w:t>
            </w:r>
          </w:p>
          <w:p w14:paraId="6C96AEA1"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u w:val="single"/>
              </w:rPr>
              <w:t>Note</w:t>
            </w:r>
            <w:r w:rsidRPr="00783F18">
              <w:rPr>
                <w:rFonts w:ascii="Times New Roman" w:hAnsi="Times New Roman" w:cs="Times New Roman"/>
                <w:sz w:val="24"/>
                <w:szCs w:val="24"/>
              </w:rPr>
              <w:t>: If the rollout will be to prioritized subgroups and gradually expanded, consider whether these subgroups should be listed as subgroups of special interest below.</w:t>
            </w:r>
          </w:p>
        </w:tc>
        <w:tc>
          <w:tcPr>
            <w:tcW w:w="3780" w:type="dxa"/>
          </w:tcPr>
          <w:p w14:paraId="6BB64A1A" w14:textId="77777777" w:rsidR="00783F18" w:rsidRPr="00783F18" w:rsidRDefault="00783F18" w:rsidP="008001AE">
            <w:pPr>
              <w:rPr>
                <w:rFonts w:ascii="Times New Roman" w:hAnsi="Times New Roman" w:cs="Times New Roman"/>
                <w:sz w:val="24"/>
                <w:szCs w:val="24"/>
              </w:rPr>
            </w:pPr>
          </w:p>
        </w:tc>
        <w:tc>
          <w:tcPr>
            <w:tcW w:w="1480" w:type="dxa"/>
            <w:gridSpan w:val="2"/>
          </w:tcPr>
          <w:p w14:paraId="4B45ABC6" w14:textId="77777777" w:rsidR="00783F18" w:rsidRPr="00783F18" w:rsidRDefault="00783F18" w:rsidP="008001AE">
            <w:pPr>
              <w:rPr>
                <w:rFonts w:ascii="Times New Roman" w:hAnsi="Times New Roman" w:cs="Times New Roman"/>
                <w:sz w:val="24"/>
                <w:szCs w:val="24"/>
              </w:rPr>
            </w:pPr>
          </w:p>
        </w:tc>
      </w:tr>
    </w:tbl>
    <w:p w14:paraId="688EDCC0" w14:textId="77777777" w:rsidR="00783F18" w:rsidRPr="00783F18" w:rsidRDefault="00783F18" w:rsidP="00783F18">
      <w:pPr>
        <w:widowControl w:val="0"/>
        <w:pBdr>
          <w:top w:val="nil"/>
          <w:left w:val="nil"/>
          <w:bottom w:val="nil"/>
          <w:right w:val="nil"/>
          <w:between w:val="nil"/>
        </w:pBdr>
        <w:spacing w:line="276" w:lineRule="auto"/>
        <w:rPr>
          <w:rFonts w:ascii="Times New Roman" w:hAnsi="Times New Roman" w:cs="Times New Roman"/>
          <w:sz w:val="24"/>
          <w:szCs w:val="24"/>
        </w:rPr>
      </w:pPr>
    </w:p>
    <w:tbl>
      <w:tblPr>
        <w:tblW w:w="912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3780"/>
        <w:gridCol w:w="1480"/>
      </w:tblGrid>
      <w:tr w:rsidR="00783F18" w:rsidRPr="00783F18" w14:paraId="275770E8" w14:textId="77777777" w:rsidTr="008001AE">
        <w:tc>
          <w:tcPr>
            <w:tcW w:w="3865" w:type="dxa"/>
            <w:tcBorders>
              <w:top w:val="nil"/>
            </w:tcBorders>
          </w:tcPr>
          <w:p w14:paraId="4BB7B04E" w14:textId="1C6B68F6"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Nature of condition:</w:t>
            </w:r>
            <w:r w:rsidRPr="00783F18">
              <w:rPr>
                <w:rFonts w:ascii="Times New Roman" w:hAnsi="Times New Roman" w:cs="Times New Roman"/>
                <w:sz w:val="24"/>
                <w:szCs w:val="24"/>
              </w:rPr>
              <w:br/>
              <w:t>Briefly describe the natural course of the condition, illness or disease the vaccine is intended to prevent. How serious is this condition?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requiring hospitalization, severe or life threatening, endemic potential, epidemic potential, pandemic potential, worsening antimicrobial resistance, long term effects of the disease). Note important uncertainties in these characteristics that impact on B-R.</w:t>
            </w:r>
          </w:p>
        </w:tc>
        <w:tc>
          <w:tcPr>
            <w:tcW w:w="3780" w:type="dxa"/>
            <w:tcBorders>
              <w:top w:val="nil"/>
            </w:tcBorders>
          </w:tcPr>
          <w:p w14:paraId="60F37228" w14:textId="77777777" w:rsidR="00783F18" w:rsidRPr="00783F18" w:rsidRDefault="00783F18" w:rsidP="008001AE">
            <w:pPr>
              <w:rPr>
                <w:rFonts w:ascii="Times New Roman" w:hAnsi="Times New Roman" w:cs="Times New Roman"/>
                <w:sz w:val="24"/>
                <w:szCs w:val="24"/>
              </w:rPr>
            </w:pPr>
          </w:p>
        </w:tc>
        <w:tc>
          <w:tcPr>
            <w:tcW w:w="1480" w:type="dxa"/>
            <w:tcBorders>
              <w:top w:val="nil"/>
            </w:tcBorders>
          </w:tcPr>
          <w:p w14:paraId="766F4FDB" w14:textId="77777777" w:rsidR="00783F18" w:rsidRPr="00783F18" w:rsidRDefault="00783F18" w:rsidP="008001AE">
            <w:pPr>
              <w:rPr>
                <w:rFonts w:ascii="Times New Roman" w:hAnsi="Times New Roman" w:cs="Times New Roman"/>
                <w:sz w:val="24"/>
                <w:szCs w:val="24"/>
              </w:rPr>
            </w:pPr>
          </w:p>
        </w:tc>
      </w:tr>
      <w:tr w:rsidR="00783F18" w:rsidRPr="00783F18" w14:paraId="69D17E10" w14:textId="77777777" w:rsidTr="008001AE">
        <w:tc>
          <w:tcPr>
            <w:tcW w:w="3865" w:type="dxa"/>
          </w:tcPr>
          <w:p w14:paraId="609340EE"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Existing vaccines and therapies</w:t>
            </w:r>
            <w:r w:rsidRPr="00783F18">
              <w:rPr>
                <w:rFonts w:ascii="Times New Roman" w:hAnsi="Times New Roman" w:cs="Times New Roman"/>
                <w:sz w:val="24"/>
                <w:szCs w:val="24"/>
              </w:rPr>
              <w:t>:</w:t>
            </w:r>
          </w:p>
          <w:p w14:paraId="0C2EE3B3" w14:textId="14783BEA"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sz w:val="24"/>
                <w:szCs w:val="24"/>
              </w:rPr>
              <w:t>What vaccines, treatments or therapies are currently used to treat or prevent this condition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existing vaccines, therapeutic medicines, prophylactic medicines)</w:t>
            </w:r>
          </w:p>
        </w:tc>
        <w:tc>
          <w:tcPr>
            <w:tcW w:w="3780" w:type="dxa"/>
          </w:tcPr>
          <w:p w14:paraId="7DE1F974" w14:textId="77777777" w:rsidR="00783F18" w:rsidRPr="00783F18" w:rsidRDefault="00783F18" w:rsidP="008001AE">
            <w:pPr>
              <w:rPr>
                <w:rFonts w:ascii="Times New Roman" w:hAnsi="Times New Roman" w:cs="Times New Roman"/>
                <w:sz w:val="24"/>
                <w:szCs w:val="24"/>
              </w:rPr>
            </w:pPr>
          </w:p>
        </w:tc>
        <w:tc>
          <w:tcPr>
            <w:tcW w:w="1480" w:type="dxa"/>
          </w:tcPr>
          <w:p w14:paraId="612BD684" w14:textId="77777777" w:rsidR="00783F18" w:rsidRPr="00783F18" w:rsidRDefault="00783F18" w:rsidP="008001AE">
            <w:pPr>
              <w:rPr>
                <w:rFonts w:ascii="Times New Roman" w:hAnsi="Times New Roman" w:cs="Times New Roman"/>
                <w:sz w:val="24"/>
                <w:szCs w:val="24"/>
              </w:rPr>
            </w:pPr>
          </w:p>
        </w:tc>
      </w:tr>
      <w:tr w:rsidR="00783F18" w:rsidRPr="00783F18" w14:paraId="01E99312" w14:textId="77777777" w:rsidTr="008001AE">
        <w:tc>
          <w:tcPr>
            <w:tcW w:w="3865" w:type="dxa"/>
          </w:tcPr>
          <w:p w14:paraId="24DE0C2C"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Unmet medical need:</w:t>
            </w:r>
          </w:p>
          <w:p w14:paraId="26DA447C" w14:textId="107C50AA"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Briefly describe the limitations of currently available therapies for </w:t>
            </w:r>
            <w:r w:rsidR="00CA144A" w:rsidRPr="00783F18">
              <w:rPr>
                <w:rFonts w:ascii="Times New Roman" w:hAnsi="Times New Roman" w:cs="Times New Roman"/>
                <w:sz w:val="24"/>
                <w:szCs w:val="24"/>
              </w:rPr>
              <w:t>prevent</w:t>
            </w:r>
            <w:r w:rsidR="00CA144A">
              <w:rPr>
                <w:rFonts w:ascii="Times New Roman" w:hAnsi="Times New Roman" w:cs="Times New Roman"/>
                <w:sz w:val="24"/>
                <w:szCs w:val="24"/>
              </w:rPr>
              <w:t>ing/</w:t>
            </w:r>
            <w:r w:rsidRPr="00783F18">
              <w:rPr>
                <w:rFonts w:ascii="Times New Roman" w:hAnsi="Times New Roman" w:cs="Times New Roman"/>
                <w:sz w:val="24"/>
                <w:szCs w:val="24"/>
              </w:rPr>
              <w:t>treating the condition. What are their key adverse effects and uncertainties? Is there sufficient supply of these alternatives and can they be accessed by those who choose to use them?</w:t>
            </w:r>
          </w:p>
          <w:p w14:paraId="1E821181"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sz w:val="24"/>
                <w:szCs w:val="24"/>
              </w:rPr>
              <w:t xml:space="preserve">If relevant, indicate if there are any important differences by region or country for which the vaccine is being considered. </w:t>
            </w:r>
            <w:r w:rsidRPr="00783F18">
              <w:rPr>
                <w:rFonts w:ascii="Times New Roman" w:hAnsi="Times New Roman" w:cs="Times New Roman"/>
                <w:sz w:val="24"/>
                <w:szCs w:val="24"/>
                <w:u w:val="single"/>
              </w:rPr>
              <w:t>Note</w:t>
            </w:r>
            <w:r w:rsidRPr="00783F18">
              <w:rPr>
                <w:rFonts w:ascii="Times New Roman" w:hAnsi="Times New Roman" w:cs="Times New Roman"/>
                <w:sz w:val="24"/>
                <w:szCs w:val="24"/>
              </w:rPr>
              <w:t>: It may be easier to complete a separate module for regions / countries with several important differences.</w:t>
            </w:r>
          </w:p>
        </w:tc>
        <w:tc>
          <w:tcPr>
            <w:tcW w:w="3780" w:type="dxa"/>
          </w:tcPr>
          <w:p w14:paraId="7EE64E23" w14:textId="77777777" w:rsidR="00783F18" w:rsidRPr="00783F18" w:rsidRDefault="00783F18" w:rsidP="008001AE">
            <w:pPr>
              <w:rPr>
                <w:rFonts w:ascii="Times New Roman" w:hAnsi="Times New Roman" w:cs="Times New Roman"/>
                <w:sz w:val="24"/>
                <w:szCs w:val="24"/>
              </w:rPr>
            </w:pPr>
          </w:p>
        </w:tc>
        <w:tc>
          <w:tcPr>
            <w:tcW w:w="1480" w:type="dxa"/>
          </w:tcPr>
          <w:p w14:paraId="64509178" w14:textId="77777777" w:rsidR="00783F18" w:rsidRPr="00783F18" w:rsidRDefault="00783F18" w:rsidP="008001AE">
            <w:pPr>
              <w:rPr>
                <w:rFonts w:ascii="Times New Roman" w:hAnsi="Times New Roman" w:cs="Times New Roman"/>
                <w:sz w:val="24"/>
                <w:szCs w:val="24"/>
              </w:rPr>
            </w:pPr>
          </w:p>
        </w:tc>
      </w:tr>
    </w:tbl>
    <w:p w14:paraId="5F4E23C9" w14:textId="77777777" w:rsidR="00783F18" w:rsidRPr="00783F18" w:rsidRDefault="00783F18" w:rsidP="00783F18">
      <w:pPr>
        <w:rPr>
          <w:rFonts w:ascii="Times New Roman" w:hAnsi="Times New Roman" w:cs="Times New Roman"/>
          <w:sz w:val="24"/>
          <w:szCs w:val="24"/>
        </w:rPr>
      </w:pPr>
    </w:p>
    <w:tbl>
      <w:tblPr>
        <w:tblW w:w="91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5"/>
        <w:gridCol w:w="2070"/>
        <w:gridCol w:w="1530"/>
      </w:tblGrid>
      <w:tr w:rsidR="00783F18" w:rsidRPr="00783F18" w14:paraId="1A525CE0" w14:textId="77777777" w:rsidTr="008001AE">
        <w:tc>
          <w:tcPr>
            <w:tcW w:w="9175" w:type="dxa"/>
            <w:gridSpan w:val="3"/>
            <w:tcBorders>
              <w:top w:val="single" w:sz="18" w:space="0" w:color="000000"/>
              <w:left w:val="single" w:sz="18" w:space="0" w:color="000000"/>
              <w:bottom w:val="single" w:sz="18" w:space="0" w:color="000000"/>
              <w:right w:val="single" w:sz="18" w:space="0" w:color="000000"/>
            </w:tcBorders>
            <w:shd w:val="clear" w:color="auto" w:fill="FFFF99"/>
          </w:tcPr>
          <w:p w14:paraId="53BFB088" w14:textId="77777777" w:rsidR="00783F18" w:rsidRPr="00783F18" w:rsidRDefault="00783F18" w:rsidP="008001AE">
            <w:pPr>
              <w:rPr>
                <w:rFonts w:ascii="Times New Roman" w:hAnsi="Times New Roman" w:cs="Times New Roman"/>
                <w:b/>
                <w:sz w:val="24"/>
                <w:szCs w:val="24"/>
              </w:rPr>
            </w:pPr>
          </w:p>
          <w:p w14:paraId="7BE43B6D"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1D. High-level Benefit-Risk Topics</w:t>
            </w:r>
          </w:p>
          <w:p w14:paraId="7DC8C59F" w14:textId="77777777" w:rsidR="00783F18" w:rsidRPr="00783F18" w:rsidRDefault="00783F18" w:rsidP="008001AE">
            <w:pPr>
              <w:rPr>
                <w:rFonts w:ascii="Times New Roman" w:hAnsi="Times New Roman" w:cs="Times New Roman"/>
                <w:b/>
                <w:sz w:val="24"/>
                <w:szCs w:val="24"/>
              </w:rPr>
            </w:pPr>
          </w:p>
        </w:tc>
      </w:tr>
      <w:tr w:rsidR="00783F18" w:rsidRPr="00783F18" w14:paraId="3E0991C7" w14:textId="77777777" w:rsidTr="008001AE">
        <w:tc>
          <w:tcPr>
            <w:tcW w:w="5575" w:type="dxa"/>
            <w:tcBorders>
              <w:top w:val="single" w:sz="18" w:space="0" w:color="000000"/>
            </w:tcBorders>
            <w:shd w:val="clear" w:color="auto" w:fill="FFFFFF"/>
          </w:tcPr>
          <w:p w14:paraId="64C1B771"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lastRenderedPageBreak/>
              <w:t>Question</w:t>
            </w:r>
          </w:p>
        </w:tc>
        <w:tc>
          <w:tcPr>
            <w:tcW w:w="2070" w:type="dxa"/>
            <w:tcBorders>
              <w:top w:val="single" w:sz="18" w:space="0" w:color="000000"/>
            </w:tcBorders>
          </w:tcPr>
          <w:p w14:paraId="76A7617C"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Responses</w:t>
            </w:r>
          </w:p>
        </w:tc>
        <w:tc>
          <w:tcPr>
            <w:tcW w:w="1530" w:type="dxa"/>
            <w:tcBorders>
              <w:top w:val="single" w:sz="18" w:space="0" w:color="000000"/>
            </w:tcBorders>
          </w:tcPr>
          <w:p w14:paraId="0E53C06B" w14:textId="77777777" w:rsidR="00783F18" w:rsidRPr="00783F18" w:rsidRDefault="00783F18" w:rsidP="008001AE">
            <w:pPr>
              <w:rPr>
                <w:rFonts w:ascii="Times New Roman" w:hAnsi="Times New Roman" w:cs="Times New Roman"/>
                <w:i/>
                <w:sz w:val="24"/>
                <w:szCs w:val="24"/>
              </w:rPr>
            </w:pPr>
            <w:r w:rsidRPr="00783F18">
              <w:rPr>
                <w:rFonts w:ascii="Times New Roman" w:hAnsi="Times New Roman" w:cs="Times New Roman"/>
                <w:b/>
                <w:sz w:val="24"/>
                <w:szCs w:val="24"/>
              </w:rPr>
              <w:t>Comments</w:t>
            </w:r>
          </w:p>
        </w:tc>
      </w:tr>
      <w:tr w:rsidR="00783F18" w:rsidRPr="00783F18" w14:paraId="43322EA4" w14:textId="77777777" w:rsidTr="008001AE">
        <w:tc>
          <w:tcPr>
            <w:tcW w:w="5575" w:type="dxa"/>
            <w:shd w:val="clear" w:color="auto" w:fill="FFFFFF"/>
          </w:tcPr>
          <w:p w14:paraId="102A4F05"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 xml:space="preserve">Purpose and drivers for the B-R assessment: </w:t>
            </w:r>
          </w:p>
          <w:p w14:paraId="4226307C"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sz w:val="24"/>
                <w:szCs w:val="24"/>
              </w:rPr>
              <w:t xml:space="preserve">What is driving the decision to perform this B-R assessment </w:t>
            </w:r>
            <w:r w:rsidRPr="00783F18">
              <w:rPr>
                <w:rFonts w:ascii="Times New Roman" w:hAnsi="Times New Roman" w:cs="Times New Roman"/>
                <w:sz w:val="24"/>
                <w:szCs w:val="24"/>
                <w:u w:val="single"/>
              </w:rPr>
              <w:t>at this time</w:t>
            </w:r>
            <w:r w:rsidRPr="00783F18">
              <w:rPr>
                <w:rFonts w:ascii="Times New Roman" w:hAnsi="Times New Roman" w:cs="Times New Roman"/>
                <w:sz w:val="24"/>
                <w:szCs w:val="24"/>
              </w:rPr>
              <w:t xml:space="preserve">? (e.g., presentation to health or regulatory authorities, identification of a new safety signal post-approval, emergence of a special population of interest, changes in the pathogen (severity, transmission), changes in vaccine effectiveness, concerns with waning immunity, a new competitor vaccine, development of a booster, etc.) </w:t>
            </w:r>
          </w:p>
        </w:tc>
        <w:tc>
          <w:tcPr>
            <w:tcW w:w="2070" w:type="dxa"/>
          </w:tcPr>
          <w:p w14:paraId="4E1ECB54" w14:textId="77777777" w:rsidR="00783F18" w:rsidRPr="00783F18" w:rsidRDefault="00783F18" w:rsidP="008001AE">
            <w:pPr>
              <w:rPr>
                <w:rFonts w:ascii="Times New Roman" w:hAnsi="Times New Roman" w:cs="Times New Roman"/>
                <w:sz w:val="24"/>
                <w:szCs w:val="24"/>
              </w:rPr>
            </w:pPr>
          </w:p>
        </w:tc>
        <w:tc>
          <w:tcPr>
            <w:tcW w:w="1530" w:type="dxa"/>
          </w:tcPr>
          <w:p w14:paraId="0E6B3DE5" w14:textId="77777777" w:rsidR="00783F18" w:rsidRPr="00783F18" w:rsidRDefault="00783F18" w:rsidP="008001AE">
            <w:pPr>
              <w:rPr>
                <w:rFonts w:ascii="Times New Roman" w:hAnsi="Times New Roman" w:cs="Times New Roman"/>
                <w:i/>
                <w:sz w:val="24"/>
                <w:szCs w:val="24"/>
              </w:rPr>
            </w:pPr>
          </w:p>
        </w:tc>
      </w:tr>
      <w:tr w:rsidR="00783F18" w:rsidRPr="00783F18" w14:paraId="6B5209E0" w14:textId="77777777" w:rsidTr="008001AE">
        <w:tc>
          <w:tcPr>
            <w:tcW w:w="5575" w:type="dxa"/>
            <w:shd w:val="clear" w:color="auto" w:fill="FFFFFF"/>
          </w:tcPr>
          <w:p w14:paraId="7734291C"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Comparator(s)</w:t>
            </w:r>
          </w:p>
          <w:p w14:paraId="271A07B7" w14:textId="3B1047A8"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sz w:val="24"/>
                <w:szCs w:val="24"/>
              </w:rPr>
              <w:t>To what vaccine(s), treatment(s) or therapy(ies) is the vaccine of interest being compared in the B-R assessment?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no vaccine, other established vaccine, therapies such as monoclonal antibodies (prophylactic or therapeutic) or prophylactic agents)</w:t>
            </w:r>
            <w:r w:rsidR="00A9702C">
              <w:rPr>
                <w:rFonts w:ascii="Times New Roman" w:hAnsi="Times New Roman" w:cs="Times New Roman"/>
                <w:sz w:val="24"/>
                <w:szCs w:val="24"/>
              </w:rPr>
              <w:t>, isolation, etc.</w:t>
            </w:r>
          </w:p>
        </w:tc>
        <w:tc>
          <w:tcPr>
            <w:tcW w:w="2070" w:type="dxa"/>
          </w:tcPr>
          <w:p w14:paraId="2CA6CABA" w14:textId="77777777" w:rsidR="00783F18" w:rsidRPr="00783F18" w:rsidRDefault="00783F18" w:rsidP="008001AE">
            <w:pPr>
              <w:rPr>
                <w:rFonts w:ascii="Times New Roman" w:hAnsi="Times New Roman" w:cs="Times New Roman"/>
                <w:sz w:val="24"/>
                <w:szCs w:val="24"/>
              </w:rPr>
            </w:pPr>
          </w:p>
        </w:tc>
        <w:tc>
          <w:tcPr>
            <w:tcW w:w="1530" w:type="dxa"/>
          </w:tcPr>
          <w:p w14:paraId="15BC13D8" w14:textId="77777777" w:rsidR="00783F18" w:rsidRPr="00783F18" w:rsidRDefault="00783F18" w:rsidP="008001AE">
            <w:pPr>
              <w:rPr>
                <w:rFonts w:ascii="Times New Roman" w:hAnsi="Times New Roman" w:cs="Times New Roman"/>
                <w:i/>
                <w:sz w:val="24"/>
                <w:szCs w:val="24"/>
              </w:rPr>
            </w:pPr>
          </w:p>
        </w:tc>
      </w:tr>
      <w:tr w:rsidR="00783F18" w:rsidRPr="00783F18" w14:paraId="5AA80BCF" w14:textId="77777777" w:rsidTr="008001AE">
        <w:tc>
          <w:tcPr>
            <w:tcW w:w="5575" w:type="dxa"/>
          </w:tcPr>
          <w:p w14:paraId="4551D05C" w14:textId="121BB0EA" w:rsidR="00783F18" w:rsidRPr="00783F18" w:rsidRDefault="00783F18" w:rsidP="00E82BF9">
            <w:pPr>
              <w:rPr>
                <w:rFonts w:ascii="Times New Roman" w:hAnsi="Times New Roman" w:cs="Times New Roman"/>
                <w:sz w:val="24"/>
                <w:szCs w:val="24"/>
              </w:rPr>
            </w:pPr>
            <w:r w:rsidRPr="00783F18">
              <w:rPr>
                <w:rFonts w:ascii="Times New Roman" w:hAnsi="Times New Roman" w:cs="Times New Roman"/>
                <w:b/>
                <w:sz w:val="24"/>
                <w:szCs w:val="24"/>
              </w:rPr>
              <w:t>Time horizon for B-R assessment:</w:t>
            </w:r>
            <w:r w:rsidRPr="00783F18">
              <w:rPr>
                <w:rFonts w:ascii="Times New Roman" w:hAnsi="Times New Roman" w:cs="Times New Roman"/>
                <w:b/>
                <w:sz w:val="24"/>
                <w:szCs w:val="24"/>
              </w:rPr>
              <w:br/>
            </w:r>
            <w:r w:rsidRPr="00783F18">
              <w:rPr>
                <w:rFonts w:ascii="Times New Roman" w:hAnsi="Times New Roman" w:cs="Times New Roman"/>
                <w:sz w:val="24"/>
                <w:szCs w:val="24"/>
              </w:rPr>
              <w:t xml:space="preserve">Over what time period after vaccination </w:t>
            </w:r>
            <w:r w:rsidR="0039033F">
              <w:rPr>
                <w:rFonts w:ascii="Times New Roman" w:hAnsi="Times New Roman" w:cs="Times New Roman"/>
                <w:sz w:val="24"/>
                <w:szCs w:val="24"/>
              </w:rPr>
              <w:t xml:space="preserve">are </w:t>
            </w:r>
            <w:r w:rsidRPr="00783F18">
              <w:rPr>
                <w:rFonts w:ascii="Times New Roman" w:hAnsi="Times New Roman" w:cs="Times New Roman"/>
                <w:sz w:val="24"/>
                <w:szCs w:val="24"/>
              </w:rPr>
              <w:t>B-R assessment data being considered? (e.g., six months from primary dose administration date, 1 year from first boost administration date</w:t>
            </w:r>
            <w:r w:rsidR="00E82BF9">
              <w:rPr>
                <w:rFonts w:ascii="Times New Roman" w:hAnsi="Times New Roman" w:cs="Times New Roman"/>
                <w:sz w:val="24"/>
                <w:szCs w:val="24"/>
              </w:rPr>
              <w:t xml:space="preserve">; </w:t>
            </w:r>
            <w:r w:rsidRPr="00783F18">
              <w:rPr>
                <w:rFonts w:ascii="Times New Roman" w:hAnsi="Times New Roman" w:cs="Times New Roman"/>
                <w:sz w:val="24"/>
                <w:szCs w:val="24"/>
              </w:rPr>
              <w:t xml:space="preserve">if in a clinical trial - to end of trial, </w:t>
            </w:r>
            <w:r w:rsidR="005D17E3" w:rsidRPr="00783F18">
              <w:rPr>
                <w:rFonts w:ascii="Times New Roman" w:hAnsi="Times New Roman" w:cs="Times New Roman"/>
                <w:sz w:val="24"/>
                <w:szCs w:val="24"/>
              </w:rPr>
              <w:t>discontinuation,</w:t>
            </w:r>
            <w:r w:rsidRPr="00783F18">
              <w:rPr>
                <w:rFonts w:ascii="Times New Roman" w:hAnsi="Times New Roman" w:cs="Times New Roman"/>
                <w:sz w:val="24"/>
                <w:szCs w:val="24"/>
              </w:rPr>
              <w:t xml:space="preserve"> or follow-up?)  </w:t>
            </w:r>
          </w:p>
        </w:tc>
        <w:tc>
          <w:tcPr>
            <w:tcW w:w="2070" w:type="dxa"/>
          </w:tcPr>
          <w:p w14:paraId="6EB3282B" w14:textId="77777777" w:rsidR="00783F18" w:rsidRPr="00783F18" w:rsidRDefault="00783F18" w:rsidP="008001AE">
            <w:pPr>
              <w:rPr>
                <w:rFonts w:ascii="Times New Roman" w:hAnsi="Times New Roman" w:cs="Times New Roman"/>
                <w:strike/>
                <w:sz w:val="24"/>
                <w:szCs w:val="24"/>
              </w:rPr>
            </w:pPr>
          </w:p>
        </w:tc>
        <w:tc>
          <w:tcPr>
            <w:tcW w:w="1530" w:type="dxa"/>
          </w:tcPr>
          <w:p w14:paraId="6A18F626" w14:textId="77777777" w:rsidR="00783F18" w:rsidRPr="00783F18" w:rsidRDefault="00783F18" w:rsidP="008001AE">
            <w:pPr>
              <w:ind w:left="720" w:hanging="360"/>
              <w:rPr>
                <w:rFonts w:ascii="Times New Roman" w:hAnsi="Times New Roman" w:cs="Times New Roman"/>
                <w:sz w:val="24"/>
                <w:szCs w:val="24"/>
              </w:rPr>
            </w:pPr>
          </w:p>
        </w:tc>
      </w:tr>
      <w:tr w:rsidR="00783F18" w:rsidRPr="00783F18" w14:paraId="31FAE5EF" w14:textId="77777777" w:rsidTr="008001AE">
        <w:tc>
          <w:tcPr>
            <w:tcW w:w="5575" w:type="dxa"/>
          </w:tcPr>
          <w:p w14:paraId="7BD9F5A3"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What is the justification for this time horizon?</w:t>
            </w:r>
          </w:p>
          <w:p w14:paraId="73B16E90" w14:textId="7A99DB88"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sz w:val="24"/>
                <w:szCs w:val="24"/>
              </w:rPr>
              <w:t>If there is a series of doses, indicate when the time horizon’s data collection period starts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w:t>
            </w:r>
            <w:r w:rsidR="00AB6974">
              <w:rPr>
                <w:rFonts w:ascii="Times New Roman" w:hAnsi="Times New Roman" w:cs="Times New Roman"/>
                <w:sz w:val="24"/>
                <w:szCs w:val="24"/>
              </w:rPr>
              <w:t>a</w:t>
            </w:r>
            <w:r w:rsidRPr="00783F18">
              <w:rPr>
                <w:rFonts w:ascii="Times New Roman" w:hAnsi="Times New Roman" w:cs="Times New Roman"/>
                <w:sz w:val="24"/>
                <w:szCs w:val="24"/>
              </w:rPr>
              <w:t>fter first dose, after second dose</w:t>
            </w:r>
            <w:r w:rsidR="00AB6974">
              <w:rPr>
                <w:rFonts w:ascii="Times New Roman" w:hAnsi="Times New Roman" w:cs="Times New Roman"/>
                <w:sz w:val="24"/>
                <w:szCs w:val="24"/>
              </w:rPr>
              <w:t>, etc.</w:t>
            </w:r>
            <w:r w:rsidRPr="00783F18">
              <w:rPr>
                <w:rFonts w:ascii="Times New Roman" w:hAnsi="Times New Roman" w:cs="Times New Roman"/>
                <w:sz w:val="24"/>
                <w:szCs w:val="24"/>
              </w:rPr>
              <w:t>)</w:t>
            </w:r>
          </w:p>
        </w:tc>
        <w:tc>
          <w:tcPr>
            <w:tcW w:w="2070" w:type="dxa"/>
          </w:tcPr>
          <w:p w14:paraId="78EB905B" w14:textId="77777777" w:rsidR="00783F18" w:rsidRPr="00783F18" w:rsidRDefault="00783F18" w:rsidP="008001AE">
            <w:pPr>
              <w:rPr>
                <w:rFonts w:ascii="Times New Roman" w:hAnsi="Times New Roman" w:cs="Times New Roman"/>
                <w:strike/>
                <w:sz w:val="24"/>
                <w:szCs w:val="24"/>
              </w:rPr>
            </w:pPr>
          </w:p>
        </w:tc>
        <w:tc>
          <w:tcPr>
            <w:tcW w:w="1530" w:type="dxa"/>
          </w:tcPr>
          <w:p w14:paraId="000DF19E" w14:textId="77777777" w:rsidR="00783F18" w:rsidRPr="00783F18" w:rsidRDefault="00783F18" w:rsidP="008001AE">
            <w:pPr>
              <w:ind w:left="720" w:hanging="360"/>
              <w:rPr>
                <w:rFonts w:ascii="Times New Roman" w:hAnsi="Times New Roman" w:cs="Times New Roman"/>
                <w:sz w:val="24"/>
                <w:szCs w:val="24"/>
              </w:rPr>
            </w:pPr>
          </w:p>
        </w:tc>
      </w:tr>
      <w:tr w:rsidR="00783F18" w:rsidRPr="00783F18" w14:paraId="3B9745BB" w14:textId="77777777" w:rsidTr="008001AE">
        <w:tc>
          <w:tcPr>
            <w:tcW w:w="5575" w:type="dxa"/>
          </w:tcPr>
          <w:p w14:paraId="066FE6FB" w14:textId="1D476B42"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Subgroups of special interest:</w:t>
            </w:r>
            <w:r w:rsidRPr="00783F18">
              <w:rPr>
                <w:rFonts w:ascii="Times New Roman" w:hAnsi="Times New Roman" w:cs="Times New Roman"/>
                <w:sz w:val="24"/>
                <w:szCs w:val="24"/>
              </w:rPr>
              <w:br/>
              <w:t>List subgroups for which B-R assessment is of particular interest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age, </w:t>
            </w:r>
            <w:r w:rsidR="000802C8">
              <w:rPr>
                <w:rFonts w:ascii="Times New Roman" w:hAnsi="Times New Roman" w:cs="Times New Roman"/>
                <w:sz w:val="24"/>
                <w:szCs w:val="24"/>
              </w:rPr>
              <w:t xml:space="preserve">sex, </w:t>
            </w:r>
            <w:r w:rsidRPr="00783F18">
              <w:rPr>
                <w:rFonts w:ascii="Times New Roman" w:hAnsi="Times New Roman" w:cs="Times New Roman"/>
                <w:sz w:val="24"/>
                <w:szCs w:val="24"/>
              </w:rPr>
              <w:t xml:space="preserve">occupation, comorbidities, concomitant medications, concomitant diseases, immune compromised, special settings (schools, long term care), pregnant, neonates, infants, lactating) </w:t>
            </w:r>
          </w:p>
          <w:p w14:paraId="375BC90F" w14:textId="4F9C4179"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If not clear from a subgroup’s name, provide the definition of the subgroup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age group considered for adolescents, </w:t>
            </w:r>
            <w:r w:rsidR="005D17E3" w:rsidRPr="00783F18">
              <w:rPr>
                <w:rFonts w:ascii="Times New Roman" w:hAnsi="Times New Roman" w:cs="Times New Roman"/>
                <w:sz w:val="24"/>
                <w:szCs w:val="24"/>
              </w:rPr>
              <w:t>adults,</w:t>
            </w:r>
            <w:r w:rsidRPr="00783F18">
              <w:rPr>
                <w:rFonts w:ascii="Times New Roman" w:hAnsi="Times New Roman" w:cs="Times New Roman"/>
                <w:sz w:val="24"/>
                <w:szCs w:val="24"/>
              </w:rPr>
              <w:t xml:space="preserve"> or elderly).</w:t>
            </w:r>
          </w:p>
          <w:p w14:paraId="5C101583" w14:textId="223B70CD"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If not self-evident, describe why a subgroup is of special interest.</w:t>
            </w:r>
          </w:p>
          <w:p w14:paraId="70163899" w14:textId="076AA858"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lastRenderedPageBreak/>
              <w:t xml:space="preserve">Indicate if any of these subgroups </w:t>
            </w:r>
            <w:r w:rsidR="002F71CE">
              <w:rPr>
                <w:rFonts w:ascii="Times New Roman" w:hAnsi="Times New Roman" w:cs="Times New Roman"/>
                <w:sz w:val="24"/>
                <w:szCs w:val="24"/>
              </w:rPr>
              <w:t xml:space="preserve">is </w:t>
            </w:r>
            <w:r w:rsidRPr="00783F18">
              <w:rPr>
                <w:rFonts w:ascii="Times New Roman" w:hAnsi="Times New Roman" w:cs="Times New Roman"/>
                <w:sz w:val="24"/>
                <w:szCs w:val="24"/>
              </w:rPr>
              <w:t xml:space="preserve">likely to be especially small </w:t>
            </w:r>
            <w:r w:rsidR="00737ECB">
              <w:rPr>
                <w:rFonts w:ascii="Times New Roman" w:hAnsi="Times New Roman" w:cs="Times New Roman"/>
                <w:sz w:val="24"/>
                <w:szCs w:val="24"/>
              </w:rPr>
              <w:t>or</w:t>
            </w:r>
            <w:r w:rsidR="00737ECB" w:rsidRPr="00783F18">
              <w:rPr>
                <w:rFonts w:ascii="Times New Roman" w:hAnsi="Times New Roman" w:cs="Times New Roman"/>
                <w:sz w:val="24"/>
                <w:szCs w:val="24"/>
              </w:rPr>
              <w:t xml:space="preserve"> </w:t>
            </w:r>
            <w:r w:rsidRPr="00783F18">
              <w:rPr>
                <w:rFonts w:ascii="Times New Roman" w:hAnsi="Times New Roman" w:cs="Times New Roman"/>
                <w:sz w:val="24"/>
                <w:szCs w:val="24"/>
              </w:rPr>
              <w:t xml:space="preserve">difficult to study. </w:t>
            </w:r>
          </w:p>
        </w:tc>
        <w:tc>
          <w:tcPr>
            <w:tcW w:w="2070" w:type="dxa"/>
          </w:tcPr>
          <w:p w14:paraId="1F864902" w14:textId="77777777" w:rsidR="00783F18" w:rsidRPr="00783F18" w:rsidRDefault="00783F18" w:rsidP="008001AE">
            <w:pPr>
              <w:rPr>
                <w:rFonts w:ascii="Times New Roman" w:hAnsi="Times New Roman" w:cs="Times New Roman"/>
                <w:sz w:val="24"/>
                <w:szCs w:val="24"/>
              </w:rPr>
            </w:pPr>
          </w:p>
        </w:tc>
        <w:tc>
          <w:tcPr>
            <w:tcW w:w="1530" w:type="dxa"/>
          </w:tcPr>
          <w:p w14:paraId="7DAB9C47" w14:textId="77777777" w:rsidR="00783F18" w:rsidRPr="00783F18" w:rsidRDefault="00783F18" w:rsidP="008001AE">
            <w:pPr>
              <w:rPr>
                <w:rFonts w:ascii="Times New Roman" w:hAnsi="Times New Roman" w:cs="Times New Roman"/>
                <w:sz w:val="24"/>
                <w:szCs w:val="24"/>
              </w:rPr>
            </w:pPr>
          </w:p>
        </w:tc>
      </w:tr>
      <w:tr w:rsidR="00783F18" w:rsidRPr="00783F18" w14:paraId="09F195D0" w14:textId="77777777" w:rsidTr="008001AE">
        <w:tc>
          <w:tcPr>
            <w:tcW w:w="5575" w:type="dxa"/>
          </w:tcPr>
          <w:p w14:paraId="355AED2D"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Subgroup 1</w:t>
            </w:r>
          </w:p>
        </w:tc>
        <w:tc>
          <w:tcPr>
            <w:tcW w:w="2070" w:type="dxa"/>
          </w:tcPr>
          <w:p w14:paraId="7C49B3CE" w14:textId="77777777" w:rsidR="00783F18" w:rsidRPr="00783F18" w:rsidRDefault="00783F18" w:rsidP="008001AE">
            <w:pPr>
              <w:rPr>
                <w:rFonts w:ascii="Times New Roman" w:hAnsi="Times New Roman" w:cs="Times New Roman"/>
                <w:sz w:val="24"/>
                <w:szCs w:val="24"/>
              </w:rPr>
            </w:pPr>
          </w:p>
        </w:tc>
        <w:tc>
          <w:tcPr>
            <w:tcW w:w="1530" w:type="dxa"/>
          </w:tcPr>
          <w:p w14:paraId="3283EB96" w14:textId="77777777" w:rsidR="00783F18" w:rsidRPr="00783F18" w:rsidRDefault="00783F18" w:rsidP="008001AE">
            <w:pPr>
              <w:rPr>
                <w:rFonts w:ascii="Times New Roman" w:hAnsi="Times New Roman" w:cs="Times New Roman"/>
                <w:sz w:val="24"/>
                <w:szCs w:val="24"/>
              </w:rPr>
            </w:pPr>
          </w:p>
        </w:tc>
      </w:tr>
      <w:tr w:rsidR="00783F18" w:rsidRPr="00783F18" w14:paraId="576372B5" w14:textId="77777777" w:rsidTr="008001AE">
        <w:tc>
          <w:tcPr>
            <w:tcW w:w="5575" w:type="dxa"/>
          </w:tcPr>
          <w:p w14:paraId="140D0882"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Name</w:t>
            </w:r>
          </w:p>
        </w:tc>
        <w:tc>
          <w:tcPr>
            <w:tcW w:w="2070" w:type="dxa"/>
          </w:tcPr>
          <w:p w14:paraId="530C22B1" w14:textId="77777777" w:rsidR="00783F18" w:rsidRPr="00783F18" w:rsidRDefault="00783F18" w:rsidP="008001AE">
            <w:pPr>
              <w:rPr>
                <w:rFonts w:ascii="Times New Roman" w:hAnsi="Times New Roman" w:cs="Times New Roman"/>
                <w:sz w:val="24"/>
                <w:szCs w:val="24"/>
              </w:rPr>
            </w:pPr>
          </w:p>
        </w:tc>
        <w:tc>
          <w:tcPr>
            <w:tcW w:w="1530" w:type="dxa"/>
          </w:tcPr>
          <w:p w14:paraId="139BB460" w14:textId="77777777" w:rsidR="00783F18" w:rsidRPr="00783F18" w:rsidRDefault="00783F18" w:rsidP="008001AE">
            <w:pPr>
              <w:rPr>
                <w:rFonts w:ascii="Times New Roman" w:hAnsi="Times New Roman" w:cs="Times New Roman"/>
                <w:sz w:val="24"/>
                <w:szCs w:val="24"/>
              </w:rPr>
            </w:pPr>
          </w:p>
        </w:tc>
      </w:tr>
      <w:tr w:rsidR="00783F18" w:rsidRPr="00783F18" w14:paraId="42EF98B0" w14:textId="77777777" w:rsidTr="008001AE">
        <w:tc>
          <w:tcPr>
            <w:tcW w:w="5575" w:type="dxa"/>
          </w:tcPr>
          <w:p w14:paraId="1D346D90"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Definition</w:t>
            </w:r>
          </w:p>
        </w:tc>
        <w:tc>
          <w:tcPr>
            <w:tcW w:w="2070" w:type="dxa"/>
          </w:tcPr>
          <w:p w14:paraId="7F5BDEB0" w14:textId="77777777" w:rsidR="00783F18" w:rsidRPr="00783F18" w:rsidRDefault="00783F18" w:rsidP="008001AE">
            <w:pPr>
              <w:rPr>
                <w:rFonts w:ascii="Times New Roman" w:hAnsi="Times New Roman" w:cs="Times New Roman"/>
                <w:sz w:val="24"/>
                <w:szCs w:val="24"/>
              </w:rPr>
            </w:pPr>
          </w:p>
        </w:tc>
        <w:tc>
          <w:tcPr>
            <w:tcW w:w="1530" w:type="dxa"/>
          </w:tcPr>
          <w:p w14:paraId="027AFAAE" w14:textId="77777777" w:rsidR="00783F18" w:rsidRPr="00783F18" w:rsidRDefault="00783F18" w:rsidP="008001AE">
            <w:pPr>
              <w:rPr>
                <w:rFonts w:ascii="Times New Roman" w:hAnsi="Times New Roman" w:cs="Times New Roman"/>
                <w:sz w:val="24"/>
                <w:szCs w:val="24"/>
              </w:rPr>
            </w:pPr>
          </w:p>
        </w:tc>
      </w:tr>
      <w:tr w:rsidR="00783F18" w:rsidRPr="00783F18" w14:paraId="58CFC2D1" w14:textId="77777777" w:rsidTr="008001AE">
        <w:tc>
          <w:tcPr>
            <w:tcW w:w="5575" w:type="dxa"/>
          </w:tcPr>
          <w:p w14:paraId="7CC1699C"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Subgroup 2</w:t>
            </w:r>
          </w:p>
        </w:tc>
        <w:tc>
          <w:tcPr>
            <w:tcW w:w="2070" w:type="dxa"/>
          </w:tcPr>
          <w:p w14:paraId="22FD7611" w14:textId="77777777" w:rsidR="00783F18" w:rsidRPr="00783F18" w:rsidRDefault="00783F18" w:rsidP="008001AE">
            <w:pPr>
              <w:rPr>
                <w:rFonts w:ascii="Times New Roman" w:hAnsi="Times New Roman" w:cs="Times New Roman"/>
                <w:sz w:val="24"/>
                <w:szCs w:val="24"/>
              </w:rPr>
            </w:pPr>
          </w:p>
        </w:tc>
        <w:tc>
          <w:tcPr>
            <w:tcW w:w="1530" w:type="dxa"/>
          </w:tcPr>
          <w:p w14:paraId="70A72F55" w14:textId="77777777" w:rsidR="00783F18" w:rsidRPr="00783F18" w:rsidRDefault="00783F18" w:rsidP="008001AE">
            <w:pPr>
              <w:rPr>
                <w:rFonts w:ascii="Times New Roman" w:hAnsi="Times New Roman" w:cs="Times New Roman"/>
                <w:sz w:val="24"/>
                <w:szCs w:val="24"/>
              </w:rPr>
            </w:pPr>
          </w:p>
        </w:tc>
      </w:tr>
      <w:tr w:rsidR="00783F18" w:rsidRPr="00783F18" w14:paraId="35395AF0" w14:textId="77777777" w:rsidTr="008001AE">
        <w:tc>
          <w:tcPr>
            <w:tcW w:w="5575" w:type="dxa"/>
          </w:tcPr>
          <w:p w14:paraId="3571BE58"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Name</w:t>
            </w:r>
          </w:p>
        </w:tc>
        <w:tc>
          <w:tcPr>
            <w:tcW w:w="2070" w:type="dxa"/>
          </w:tcPr>
          <w:p w14:paraId="679FF774" w14:textId="77777777" w:rsidR="00783F18" w:rsidRPr="00783F18" w:rsidRDefault="00783F18" w:rsidP="008001AE">
            <w:pPr>
              <w:rPr>
                <w:rFonts w:ascii="Times New Roman" w:hAnsi="Times New Roman" w:cs="Times New Roman"/>
                <w:sz w:val="24"/>
                <w:szCs w:val="24"/>
              </w:rPr>
            </w:pPr>
          </w:p>
        </w:tc>
        <w:tc>
          <w:tcPr>
            <w:tcW w:w="1530" w:type="dxa"/>
          </w:tcPr>
          <w:p w14:paraId="7EE513E6" w14:textId="77777777" w:rsidR="00783F18" w:rsidRPr="00783F18" w:rsidRDefault="00783F18" w:rsidP="008001AE">
            <w:pPr>
              <w:rPr>
                <w:rFonts w:ascii="Times New Roman" w:hAnsi="Times New Roman" w:cs="Times New Roman"/>
                <w:sz w:val="24"/>
                <w:szCs w:val="24"/>
              </w:rPr>
            </w:pPr>
          </w:p>
        </w:tc>
      </w:tr>
      <w:tr w:rsidR="00783F18" w:rsidRPr="00783F18" w14:paraId="40859114" w14:textId="77777777" w:rsidTr="008001AE">
        <w:tc>
          <w:tcPr>
            <w:tcW w:w="5575" w:type="dxa"/>
          </w:tcPr>
          <w:p w14:paraId="746270BE"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Definition</w:t>
            </w:r>
          </w:p>
        </w:tc>
        <w:tc>
          <w:tcPr>
            <w:tcW w:w="2070" w:type="dxa"/>
          </w:tcPr>
          <w:p w14:paraId="7F8C14C4" w14:textId="77777777" w:rsidR="00783F18" w:rsidRPr="00783F18" w:rsidRDefault="00783F18" w:rsidP="008001AE">
            <w:pPr>
              <w:rPr>
                <w:rFonts w:ascii="Times New Roman" w:hAnsi="Times New Roman" w:cs="Times New Roman"/>
                <w:sz w:val="24"/>
                <w:szCs w:val="24"/>
              </w:rPr>
            </w:pPr>
          </w:p>
        </w:tc>
        <w:tc>
          <w:tcPr>
            <w:tcW w:w="1530" w:type="dxa"/>
          </w:tcPr>
          <w:p w14:paraId="3C05AB33" w14:textId="77777777" w:rsidR="00783F18" w:rsidRPr="00783F18" w:rsidRDefault="00783F18" w:rsidP="008001AE">
            <w:pPr>
              <w:rPr>
                <w:rFonts w:ascii="Times New Roman" w:hAnsi="Times New Roman" w:cs="Times New Roman"/>
                <w:sz w:val="24"/>
                <w:szCs w:val="24"/>
              </w:rPr>
            </w:pPr>
          </w:p>
        </w:tc>
      </w:tr>
      <w:tr w:rsidR="00783F18" w:rsidRPr="00783F18" w14:paraId="7B70A1EC" w14:textId="77777777" w:rsidTr="008001AE">
        <w:tc>
          <w:tcPr>
            <w:tcW w:w="5575" w:type="dxa"/>
          </w:tcPr>
          <w:p w14:paraId="5F1B8607"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Subgroup 3</w:t>
            </w:r>
          </w:p>
        </w:tc>
        <w:tc>
          <w:tcPr>
            <w:tcW w:w="2070" w:type="dxa"/>
          </w:tcPr>
          <w:p w14:paraId="3DF1AB9C" w14:textId="77777777" w:rsidR="00783F18" w:rsidRPr="00783F18" w:rsidRDefault="00783F18" w:rsidP="008001AE">
            <w:pPr>
              <w:rPr>
                <w:rFonts w:ascii="Times New Roman" w:hAnsi="Times New Roman" w:cs="Times New Roman"/>
                <w:sz w:val="24"/>
                <w:szCs w:val="24"/>
              </w:rPr>
            </w:pPr>
          </w:p>
        </w:tc>
        <w:tc>
          <w:tcPr>
            <w:tcW w:w="1530" w:type="dxa"/>
          </w:tcPr>
          <w:p w14:paraId="7B515D2E" w14:textId="77777777" w:rsidR="00783F18" w:rsidRPr="00783F18" w:rsidRDefault="00783F18" w:rsidP="008001AE">
            <w:pPr>
              <w:rPr>
                <w:rFonts w:ascii="Times New Roman" w:hAnsi="Times New Roman" w:cs="Times New Roman"/>
                <w:sz w:val="24"/>
                <w:szCs w:val="24"/>
              </w:rPr>
            </w:pPr>
          </w:p>
        </w:tc>
      </w:tr>
      <w:tr w:rsidR="00783F18" w:rsidRPr="00783F18" w14:paraId="2C978FCB" w14:textId="77777777" w:rsidTr="008001AE">
        <w:tc>
          <w:tcPr>
            <w:tcW w:w="5575" w:type="dxa"/>
          </w:tcPr>
          <w:p w14:paraId="2B00D073"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w:t>
            </w:r>
          </w:p>
        </w:tc>
        <w:tc>
          <w:tcPr>
            <w:tcW w:w="2070" w:type="dxa"/>
          </w:tcPr>
          <w:p w14:paraId="59498D0A" w14:textId="77777777" w:rsidR="00783F18" w:rsidRPr="00783F18" w:rsidRDefault="00783F18" w:rsidP="008001AE">
            <w:pPr>
              <w:rPr>
                <w:rFonts w:ascii="Times New Roman" w:hAnsi="Times New Roman" w:cs="Times New Roman"/>
                <w:sz w:val="24"/>
                <w:szCs w:val="24"/>
              </w:rPr>
            </w:pPr>
          </w:p>
        </w:tc>
        <w:tc>
          <w:tcPr>
            <w:tcW w:w="1530" w:type="dxa"/>
          </w:tcPr>
          <w:p w14:paraId="75B49A7C" w14:textId="77777777" w:rsidR="00783F18" w:rsidRPr="00783F18" w:rsidRDefault="00783F18" w:rsidP="008001AE">
            <w:pPr>
              <w:rPr>
                <w:rFonts w:ascii="Times New Roman" w:hAnsi="Times New Roman" w:cs="Times New Roman"/>
                <w:sz w:val="24"/>
                <w:szCs w:val="24"/>
              </w:rPr>
            </w:pPr>
          </w:p>
        </w:tc>
      </w:tr>
    </w:tbl>
    <w:p w14:paraId="7BC60587" w14:textId="77777777" w:rsidR="00783F18" w:rsidRPr="00783F18" w:rsidRDefault="00783F18" w:rsidP="00783F18">
      <w:pPr>
        <w:rPr>
          <w:rFonts w:ascii="Times New Roman" w:hAnsi="Times New Roman" w:cs="Times New Roman"/>
          <w:b/>
          <w:sz w:val="24"/>
          <w:szCs w:val="24"/>
        </w:rPr>
      </w:pPr>
    </w:p>
    <w:tbl>
      <w:tblPr>
        <w:tblW w:w="8980" w:type="dxa"/>
        <w:tblInd w:w="-1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8980"/>
      </w:tblGrid>
      <w:tr w:rsidR="00783F18" w:rsidRPr="00783F18" w14:paraId="6EB05BD8" w14:textId="77777777" w:rsidTr="008001AE">
        <w:tc>
          <w:tcPr>
            <w:tcW w:w="8980" w:type="dxa"/>
            <w:shd w:val="clear" w:color="auto" w:fill="FFFF99"/>
          </w:tcPr>
          <w:p w14:paraId="76CF00DA" w14:textId="77777777" w:rsidR="00783F18" w:rsidRPr="00783F18" w:rsidRDefault="00783F18" w:rsidP="008001AE">
            <w:pPr>
              <w:keepNext/>
              <w:rPr>
                <w:rFonts w:ascii="Times New Roman" w:hAnsi="Times New Roman" w:cs="Times New Roman"/>
                <w:b/>
                <w:sz w:val="24"/>
                <w:szCs w:val="24"/>
              </w:rPr>
            </w:pPr>
          </w:p>
          <w:p w14:paraId="7E60B24A" w14:textId="77777777" w:rsidR="00783F18" w:rsidRPr="00783F18" w:rsidRDefault="00783F18" w:rsidP="008001AE">
            <w:pPr>
              <w:keepNext/>
              <w:rPr>
                <w:rFonts w:ascii="Times New Roman" w:hAnsi="Times New Roman" w:cs="Times New Roman"/>
                <w:b/>
                <w:sz w:val="24"/>
                <w:szCs w:val="24"/>
              </w:rPr>
            </w:pPr>
            <w:r w:rsidRPr="00783F18">
              <w:rPr>
                <w:rFonts w:ascii="Times New Roman" w:hAnsi="Times New Roman" w:cs="Times New Roman"/>
                <w:b/>
                <w:sz w:val="24"/>
                <w:szCs w:val="24"/>
              </w:rPr>
              <w:t>Section 2: Identifying key endpoints for B- R (Developing a Value Tree)</w:t>
            </w:r>
          </w:p>
          <w:p w14:paraId="5EA4ADE7" w14:textId="77777777" w:rsidR="00783F18" w:rsidRPr="00783F18" w:rsidRDefault="00783F18" w:rsidP="008001AE">
            <w:pPr>
              <w:keepNext/>
              <w:rPr>
                <w:rFonts w:ascii="Times New Roman" w:hAnsi="Times New Roman" w:cs="Times New Roman"/>
                <w:sz w:val="24"/>
                <w:szCs w:val="24"/>
              </w:rPr>
            </w:pPr>
          </w:p>
        </w:tc>
      </w:tr>
    </w:tbl>
    <w:p w14:paraId="3556672A" w14:textId="7C91F17A" w:rsidR="00783F18" w:rsidRPr="00783F18" w:rsidRDefault="00783F18" w:rsidP="00362430">
      <w:pPr>
        <w:spacing w:line="480" w:lineRule="auto"/>
        <w:rPr>
          <w:rFonts w:ascii="Times New Roman" w:hAnsi="Times New Roman" w:cs="Times New Roman"/>
          <w:sz w:val="24"/>
          <w:szCs w:val="24"/>
        </w:rPr>
      </w:pPr>
      <w:r w:rsidRPr="00783F18">
        <w:rPr>
          <w:rFonts w:ascii="Times New Roman" w:hAnsi="Times New Roman" w:cs="Times New Roman"/>
          <w:sz w:val="24"/>
          <w:szCs w:val="24"/>
        </w:rPr>
        <w:t xml:space="preserve">Identify and define the </w:t>
      </w:r>
      <w:r w:rsidRPr="00783F18">
        <w:rPr>
          <w:rFonts w:ascii="Times New Roman" w:hAnsi="Times New Roman" w:cs="Times New Roman"/>
          <w:b/>
          <w:sz w:val="24"/>
          <w:szCs w:val="24"/>
        </w:rPr>
        <w:t xml:space="preserve">key </w:t>
      </w:r>
      <w:r w:rsidRPr="00783F18">
        <w:rPr>
          <w:rFonts w:ascii="Times New Roman" w:hAnsi="Times New Roman" w:cs="Times New Roman"/>
          <w:sz w:val="24"/>
          <w:szCs w:val="24"/>
        </w:rPr>
        <w:t xml:space="preserve">benefits, </w:t>
      </w:r>
      <w:r w:rsidRPr="00783F18">
        <w:rPr>
          <w:rFonts w:ascii="Times New Roman" w:hAnsi="Times New Roman" w:cs="Times New Roman"/>
          <w:b/>
          <w:sz w:val="24"/>
          <w:szCs w:val="24"/>
        </w:rPr>
        <w:t xml:space="preserve">key </w:t>
      </w:r>
      <w:r w:rsidRPr="00783F18">
        <w:rPr>
          <w:rFonts w:ascii="Times New Roman" w:hAnsi="Times New Roman" w:cs="Times New Roman"/>
          <w:sz w:val="24"/>
          <w:szCs w:val="24"/>
        </w:rPr>
        <w:t>risks and other endpoints used for B-R assessment.</w:t>
      </w:r>
    </w:p>
    <w:p w14:paraId="4EC07D37" w14:textId="77777777" w:rsidR="00783F18" w:rsidRPr="00783F18" w:rsidRDefault="00783F18" w:rsidP="00362430">
      <w:pPr>
        <w:spacing w:line="480" w:lineRule="auto"/>
        <w:rPr>
          <w:rFonts w:ascii="Times New Roman" w:hAnsi="Times New Roman" w:cs="Times New Roman"/>
          <w:sz w:val="24"/>
          <w:szCs w:val="24"/>
        </w:rPr>
      </w:pPr>
      <w:r w:rsidRPr="00783F18">
        <w:rPr>
          <w:rFonts w:ascii="Times New Roman" w:hAnsi="Times New Roman" w:cs="Times New Roman"/>
          <w:sz w:val="24"/>
          <w:szCs w:val="24"/>
        </w:rPr>
        <w:t>Considerations for identifying which endpoints to use for a B-R assessment:</w:t>
      </w:r>
    </w:p>
    <w:p w14:paraId="49908158" w14:textId="55A1A182" w:rsidR="00783F18" w:rsidRPr="002B5832" w:rsidRDefault="00783F18" w:rsidP="002B5832">
      <w:pPr>
        <w:numPr>
          <w:ilvl w:val="0"/>
          <w:numId w:val="10"/>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Clinical trials, registries and observational studies measure numerous endpoints. For B-R, only a subset of endpoints is used - those considered “</w:t>
      </w:r>
      <w:r w:rsidRPr="00783F18">
        <w:rPr>
          <w:rFonts w:ascii="Times New Roman" w:hAnsi="Times New Roman" w:cs="Times New Roman"/>
          <w:sz w:val="24"/>
          <w:szCs w:val="24"/>
          <w:u w:val="single"/>
        </w:rPr>
        <w:t>key</w:t>
      </w:r>
      <w:r w:rsidRPr="00783F18">
        <w:rPr>
          <w:rFonts w:ascii="Times New Roman" w:hAnsi="Times New Roman" w:cs="Times New Roman"/>
          <w:sz w:val="24"/>
          <w:szCs w:val="24"/>
        </w:rPr>
        <w:t xml:space="preserve">” or most likely to have a meaningful impact on the B-R profile. For example, typically only a few endpoints are needed from a larger set of different measures of the same event or </w:t>
      </w:r>
      <w:r w:rsidR="00BA345B">
        <w:rPr>
          <w:rFonts w:ascii="Times New Roman" w:hAnsi="Times New Roman" w:cs="Times New Roman"/>
          <w:sz w:val="24"/>
          <w:szCs w:val="24"/>
        </w:rPr>
        <w:t xml:space="preserve">among events </w:t>
      </w:r>
      <w:r w:rsidRPr="00783F18">
        <w:rPr>
          <w:rFonts w:ascii="Times New Roman" w:hAnsi="Times New Roman" w:cs="Times New Roman"/>
          <w:sz w:val="24"/>
          <w:szCs w:val="24"/>
        </w:rPr>
        <w:t xml:space="preserve">that are causally dependent. For this reason, </w:t>
      </w:r>
      <w:r w:rsidRPr="00783F18">
        <w:rPr>
          <w:rFonts w:ascii="Times New Roman" w:hAnsi="Times New Roman" w:cs="Times New Roman"/>
          <w:b/>
          <w:sz w:val="24"/>
          <w:szCs w:val="24"/>
        </w:rPr>
        <w:t>the list of adverse events in risk management plans is typically broader than needed for B-R</w:t>
      </w:r>
      <w:r w:rsidRPr="00783F18">
        <w:rPr>
          <w:rFonts w:ascii="Times New Roman" w:hAnsi="Times New Roman" w:cs="Times New Roman"/>
          <w:sz w:val="24"/>
          <w:szCs w:val="24"/>
        </w:rPr>
        <w:t xml:space="preserve">. </w:t>
      </w:r>
      <w:r w:rsidR="002B5832" w:rsidRPr="002B5832">
        <w:rPr>
          <w:rFonts w:ascii="Times New Roman" w:hAnsi="Times New Roman" w:cs="Times New Roman"/>
          <w:sz w:val="24"/>
          <w:szCs w:val="24"/>
        </w:rPr>
        <w:t>Endpoints whose events are mild, of short-duration and reversible are generally not key for B-R. Often, using endpoints for hospitalized, severe and fatal events is sufficient for B-R.</w:t>
      </w:r>
      <w:r w:rsidRPr="002B5832">
        <w:rPr>
          <w:rFonts w:ascii="Times New Roman" w:hAnsi="Times New Roman" w:cs="Times New Roman"/>
          <w:sz w:val="24"/>
          <w:szCs w:val="24"/>
        </w:rPr>
        <w:t xml:space="preserve"> Potential risks (and potential benefits) may also be considered if important for the assessment. In all cases, the rationale used to select the key endpoints should be clearly described. The rationale for excluding endpoints that </w:t>
      </w:r>
      <w:r w:rsidR="002B5832" w:rsidRPr="002B5832">
        <w:rPr>
          <w:rFonts w:ascii="Times New Roman" w:hAnsi="Times New Roman" w:cs="Times New Roman"/>
          <w:sz w:val="24"/>
          <w:szCs w:val="24"/>
        </w:rPr>
        <w:t xml:space="preserve">might have </w:t>
      </w:r>
      <w:r w:rsidRPr="002B5832">
        <w:rPr>
          <w:rFonts w:ascii="Times New Roman" w:hAnsi="Times New Roman" w:cs="Times New Roman"/>
          <w:sz w:val="24"/>
          <w:szCs w:val="24"/>
        </w:rPr>
        <w:t xml:space="preserve">reasonably </w:t>
      </w:r>
      <w:r w:rsidRPr="002B5832">
        <w:rPr>
          <w:rFonts w:ascii="Times New Roman" w:hAnsi="Times New Roman" w:cs="Times New Roman"/>
          <w:sz w:val="24"/>
          <w:szCs w:val="24"/>
        </w:rPr>
        <w:lastRenderedPageBreak/>
        <w:t>been included should also be clearly described.</w:t>
      </w:r>
      <w:r w:rsidR="00CF1246" w:rsidRPr="00CF1246">
        <w:rPr>
          <w:rFonts w:ascii="Times New Roman" w:hAnsi="Times New Roman" w:cs="Times New Roman"/>
          <w:sz w:val="24"/>
          <w:szCs w:val="24"/>
        </w:rPr>
        <w:t xml:space="preserve">  Figures 1 and 2 provide some insights into categorizing outcomes by whether they are key/not key and identified/potential</w:t>
      </w:r>
      <w:r w:rsidR="00CC0AD9">
        <w:rPr>
          <w:rFonts w:ascii="Times New Roman" w:hAnsi="Times New Roman" w:cs="Times New Roman"/>
          <w:sz w:val="24"/>
          <w:szCs w:val="24"/>
        </w:rPr>
        <w:t>.</w:t>
      </w:r>
    </w:p>
    <w:p w14:paraId="47BEE90E" w14:textId="3B8D92EF" w:rsidR="00783F18" w:rsidRPr="00783F18" w:rsidRDefault="00783F18" w:rsidP="00362430">
      <w:pPr>
        <w:numPr>
          <w:ilvl w:val="0"/>
          <w:numId w:val="10"/>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 xml:space="preserve">Reduction of complications from the disease or disease-related adverse events </w:t>
      </w:r>
      <w:r w:rsidR="00737ECB">
        <w:rPr>
          <w:rFonts w:ascii="Times New Roman" w:hAnsi="Times New Roman" w:cs="Times New Roman"/>
          <w:sz w:val="24"/>
          <w:szCs w:val="24"/>
        </w:rPr>
        <w:t>(</w:t>
      </w:r>
      <w:proofErr w:type="gramStart"/>
      <w:r w:rsidR="00737ECB">
        <w:rPr>
          <w:rFonts w:ascii="Times New Roman" w:hAnsi="Times New Roman" w:cs="Times New Roman"/>
          <w:sz w:val="24"/>
          <w:szCs w:val="24"/>
        </w:rPr>
        <w:t>e.g.</w:t>
      </w:r>
      <w:proofErr w:type="gramEnd"/>
      <w:r w:rsidR="00737ECB">
        <w:rPr>
          <w:rFonts w:ascii="Times New Roman" w:hAnsi="Times New Roman" w:cs="Times New Roman"/>
          <w:sz w:val="24"/>
          <w:szCs w:val="24"/>
        </w:rPr>
        <w:t xml:space="preserve"> post-acute sequelae) </w:t>
      </w:r>
      <w:r w:rsidRPr="00783F18">
        <w:rPr>
          <w:rFonts w:ascii="Times New Roman" w:hAnsi="Times New Roman" w:cs="Times New Roman"/>
          <w:sz w:val="24"/>
          <w:szCs w:val="24"/>
        </w:rPr>
        <w:t xml:space="preserve">may be regarded as benefits in the benefit-risk </w:t>
      </w:r>
      <w:r w:rsidR="005D17E3" w:rsidRPr="00783F18">
        <w:rPr>
          <w:rFonts w:ascii="Times New Roman" w:hAnsi="Times New Roman" w:cs="Times New Roman"/>
          <w:sz w:val="24"/>
          <w:szCs w:val="24"/>
        </w:rPr>
        <w:t>balance since</w:t>
      </w:r>
      <w:r w:rsidRPr="00783F18">
        <w:rPr>
          <w:rFonts w:ascii="Times New Roman" w:hAnsi="Times New Roman" w:cs="Times New Roman"/>
          <w:sz w:val="24"/>
          <w:szCs w:val="24"/>
        </w:rPr>
        <w:t xml:space="preserve"> the vaccine will reduce their frequency or severity. In contrast, adverse events caused by the vaccine are regarded as risks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a vaccine may prevent death and hospitalization from the disease caused by a virus, while the vaccine may cause death and hospitalization due to a side effect. These endpoints should be named distinctly </w:t>
      </w:r>
      <w:r w:rsidR="005D17E3" w:rsidRPr="00783F18">
        <w:rPr>
          <w:rFonts w:ascii="Times New Roman" w:hAnsi="Times New Roman" w:cs="Times New Roman"/>
          <w:sz w:val="24"/>
          <w:szCs w:val="24"/>
        </w:rPr>
        <w:t>to</w:t>
      </w:r>
      <w:r w:rsidRPr="00783F18">
        <w:rPr>
          <w:rFonts w:ascii="Times New Roman" w:hAnsi="Times New Roman" w:cs="Times New Roman"/>
          <w:sz w:val="24"/>
          <w:szCs w:val="24"/>
        </w:rPr>
        <w:t xml:space="preserve"> reduce confusion -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“infection-related death” and “vaccine-related death”).</w:t>
      </w:r>
    </w:p>
    <w:p w14:paraId="0A842D80" w14:textId="5AEFFEAE" w:rsidR="004C2BD7" w:rsidRDefault="00783F18" w:rsidP="00362430">
      <w:pPr>
        <w:numPr>
          <w:ilvl w:val="0"/>
          <w:numId w:val="10"/>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 xml:space="preserve">To enable a clear and fair comparison of the benefits and risks, </w:t>
      </w:r>
      <w:r w:rsidRPr="00783F18">
        <w:rPr>
          <w:rFonts w:ascii="Times New Roman" w:hAnsi="Times New Roman" w:cs="Times New Roman"/>
          <w:b/>
          <w:sz w:val="24"/>
          <w:szCs w:val="24"/>
        </w:rPr>
        <w:t>it is generally preferable to use outcomes of comparable clinical impact for benefits and risks</w:t>
      </w:r>
      <w:r w:rsidRPr="00783F18">
        <w:rPr>
          <w:rFonts w:ascii="Times New Roman" w:hAnsi="Times New Roman" w:cs="Times New Roman"/>
          <w:sz w:val="24"/>
          <w:szCs w:val="24"/>
        </w:rPr>
        <w:t xml:space="preserve">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when risks are immunization-induced hospitalization, ICU admissions or death</w:t>
      </w:r>
      <w:r w:rsidR="006768EB">
        <w:rPr>
          <w:rFonts w:ascii="Times New Roman" w:hAnsi="Times New Roman" w:cs="Times New Roman"/>
          <w:sz w:val="24"/>
          <w:szCs w:val="24"/>
        </w:rPr>
        <w:t>,</w:t>
      </w:r>
    </w:p>
    <w:p w14:paraId="01FFA0FF" w14:textId="032DCFEC" w:rsidR="00783F18" w:rsidRPr="00783F18" w:rsidRDefault="00783F18" w:rsidP="006768EB">
      <w:pPr>
        <w:autoSpaceDE w:val="0"/>
        <w:autoSpaceDN w:val="0"/>
        <w:adjustRightInd w:val="0"/>
        <w:spacing w:after="0" w:line="480" w:lineRule="auto"/>
        <w:ind w:left="720"/>
        <w:rPr>
          <w:rFonts w:ascii="Times New Roman" w:hAnsi="Times New Roman" w:cs="Times New Roman"/>
          <w:sz w:val="24"/>
          <w:szCs w:val="24"/>
        </w:rPr>
      </w:pPr>
      <w:r w:rsidRPr="00783F18">
        <w:rPr>
          <w:rFonts w:ascii="Times New Roman" w:hAnsi="Times New Roman" w:cs="Times New Roman"/>
          <w:sz w:val="24"/>
          <w:szCs w:val="24"/>
        </w:rPr>
        <w:t xml:space="preserve">benefits could be reduction of infection-induced hospitalization, ICU admissions or death). However, this is not always possible, and the clinical impact of </w:t>
      </w:r>
      <w:r w:rsidR="0077645A">
        <w:rPr>
          <w:rFonts w:ascii="Times New Roman" w:hAnsi="Times New Roman" w:cs="Times New Roman"/>
          <w:sz w:val="24"/>
          <w:szCs w:val="24"/>
        </w:rPr>
        <w:t xml:space="preserve">the </w:t>
      </w:r>
      <w:r w:rsidRPr="00783F18">
        <w:rPr>
          <w:rFonts w:ascii="Times New Roman" w:hAnsi="Times New Roman" w:cs="Times New Roman"/>
          <w:sz w:val="24"/>
          <w:szCs w:val="24"/>
        </w:rPr>
        <w:t>benefit and risk events should be described in the endpoint lists below and used to support the Integrated Benefit-Risk Assessment in Section 8. The preference data in Section 7 can also be used to provide preference or other weights for endpoints.</w:t>
      </w:r>
    </w:p>
    <w:p w14:paraId="46D0011F" w14:textId="1A62688E" w:rsidR="00783F18" w:rsidRPr="00783F18" w:rsidRDefault="00783F18" w:rsidP="00362430">
      <w:pPr>
        <w:numPr>
          <w:ilvl w:val="0"/>
          <w:numId w:val="10"/>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 xml:space="preserve">While adverse events with very low frequency are typically not included in drug B-R assessment, they are often included in vaccine B-R assessment, particularly if they are serious, since the </w:t>
      </w:r>
      <w:r w:rsidR="0077645A">
        <w:rPr>
          <w:rFonts w:ascii="Times New Roman" w:hAnsi="Times New Roman" w:cs="Times New Roman"/>
          <w:sz w:val="24"/>
          <w:szCs w:val="24"/>
        </w:rPr>
        <w:t xml:space="preserve">(often very large) </w:t>
      </w:r>
      <w:r w:rsidRPr="00783F18">
        <w:rPr>
          <w:rFonts w:ascii="Times New Roman" w:hAnsi="Times New Roman" w:cs="Times New Roman"/>
          <w:sz w:val="24"/>
          <w:szCs w:val="24"/>
        </w:rPr>
        <w:t>population being vaccinated is not suffering from the disease of interest and</w:t>
      </w:r>
      <w:r w:rsidR="0077645A">
        <w:rPr>
          <w:rFonts w:ascii="Times New Roman" w:hAnsi="Times New Roman" w:cs="Times New Roman"/>
          <w:sz w:val="24"/>
          <w:szCs w:val="24"/>
        </w:rPr>
        <w:t>, thus,</w:t>
      </w:r>
      <w:r w:rsidRPr="00783F18">
        <w:rPr>
          <w:rFonts w:ascii="Times New Roman" w:hAnsi="Times New Roman" w:cs="Times New Roman"/>
          <w:sz w:val="24"/>
          <w:szCs w:val="24"/>
        </w:rPr>
        <w:t xml:space="preserve"> has a very low tolerance for adverse events, or the vaccinations may be mandatory for children, which also raises concern for rare adverse events. </w:t>
      </w:r>
    </w:p>
    <w:p w14:paraId="34C7DBBB" w14:textId="5BC827A2" w:rsidR="00783F18" w:rsidRPr="00783F18" w:rsidRDefault="00783F18" w:rsidP="00362430">
      <w:pPr>
        <w:numPr>
          <w:ilvl w:val="0"/>
          <w:numId w:val="10"/>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 xml:space="preserve">The rationale for which endpoints are considered relevant to the B-R assessment (“key” endpoints) may depend on the objectives of the immunization program </w:t>
      </w:r>
      <w:r w:rsidRPr="00783F18">
        <w:rPr>
          <w:rFonts w:ascii="Times New Roman" w:hAnsi="Times New Roman" w:cs="Times New Roman"/>
          <w:sz w:val="24"/>
          <w:szCs w:val="24"/>
        </w:rPr>
        <w:lastRenderedPageBreak/>
        <w:t>(summarized in the Decision Context). The endpoints considered key for a B-R assessment may also differ for particular applications of the module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for a specific subgroup that has a different risk of disease complications or death).</w:t>
      </w:r>
    </w:p>
    <w:p w14:paraId="72455AC4" w14:textId="77777777" w:rsidR="00783F18" w:rsidRPr="00783F18" w:rsidRDefault="00783F18" w:rsidP="00362430">
      <w:pPr>
        <w:numPr>
          <w:ilvl w:val="0"/>
          <w:numId w:val="10"/>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Avoid double-counting of an event under more than one endpoint. For example, the endpoint all-cause death and the endpoint stroke both include fatal stroke. To avoid double-counting, stroke could be replaced by non-fatal stroke. In cases where double-counting is inherent in common endpoints for a disease or when it is not possible to completely separate the endpoints, the double-counting should be noted in the analysis plan and acknowledged as a limitation of the analysis.</w:t>
      </w:r>
    </w:p>
    <w:p w14:paraId="516A439A" w14:textId="32A20779" w:rsidR="00783F18" w:rsidRPr="005D17E3" w:rsidRDefault="00783F18" w:rsidP="00362430">
      <w:pPr>
        <w:numPr>
          <w:ilvl w:val="0"/>
          <w:numId w:val="10"/>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 xml:space="preserve">While economic benefits and access issues are generally not incorporated into drug B-R assessment, they may have roles in vaccine B-R assessment due to their potential impacts on vaccine storage, </w:t>
      </w:r>
      <w:r w:rsidR="005D17E3" w:rsidRPr="00783F18">
        <w:rPr>
          <w:rFonts w:ascii="Times New Roman" w:hAnsi="Times New Roman" w:cs="Times New Roman"/>
          <w:sz w:val="24"/>
          <w:szCs w:val="24"/>
        </w:rPr>
        <w:t>stability,</w:t>
      </w:r>
      <w:r w:rsidRPr="00783F18">
        <w:rPr>
          <w:rFonts w:ascii="Times New Roman" w:hAnsi="Times New Roman" w:cs="Times New Roman"/>
          <w:sz w:val="24"/>
          <w:szCs w:val="24"/>
        </w:rPr>
        <w:t xml:space="preserve"> and access – particularly in </w:t>
      </w:r>
      <w:proofErr w:type="gramStart"/>
      <w:r w:rsidRPr="00783F18">
        <w:rPr>
          <w:rFonts w:ascii="Times New Roman" w:hAnsi="Times New Roman" w:cs="Times New Roman"/>
          <w:sz w:val="24"/>
          <w:szCs w:val="24"/>
        </w:rPr>
        <w:t>LMICs</w:t>
      </w:r>
      <w:proofErr w:type="gramEnd"/>
    </w:p>
    <w:p w14:paraId="2ADB32B7" w14:textId="0555907B" w:rsidR="00783F18" w:rsidRPr="00783F18" w:rsidRDefault="00783F18" w:rsidP="00362430">
      <w:pPr>
        <w:spacing w:line="480" w:lineRule="auto"/>
        <w:ind w:firstLine="360"/>
        <w:rPr>
          <w:rFonts w:ascii="Times New Roman" w:hAnsi="Times New Roman" w:cs="Times New Roman"/>
          <w:sz w:val="24"/>
          <w:szCs w:val="24"/>
        </w:rPr>
      </w:pPr>
      <w:r w:rsidRPr="00783F18">
        <w:rPr>
          <w:rFonts w:ascii="Times New Roman" w:hAnsi="Times New Roman" w:cs="Times New Roman"/>
          <w:sz w:val="24"/>
          <w:szCs w:val="24"/>
        </w:rPr>
        <w:t xml:space="preserve">To assist with this step, consider including a value tree, a graphical depiction of the benefits, risks and other endpoints used in a B-R assessment (example in Appendix 1). The endpoints must be included below. The order in which endpoints are shown in the value tree can be used to support the B-R assessment - endpoints can be grouped by anatomy or </w:t>
      </w:r>
      <w:r w:rsidR="005D17E3" w:rsidRPr="00783F18">
        <w:rPr>
          <w:rFonts w:ascii="Times New Roman" w:hAnsi="Times New Roman" w:cs="Times New Roman"/>
          <w:sz w:val="24"/>
          <w:szCs w:val="24"/>
        </w:rPr>
        <w:t>function and</w:t>
      </w:r>
      <w:r w:rsidRPr="00783F18">
        <w:rPr>
          <w:rFonts w:ascii="Times New Roman" w:hAnsi="Times New Roman" w:cs="Times New Roman"/>
          <w:sz w:val="24"/>
          <w:szCs w:val="24"/>
        </w:rPr>
        <w:t xml:space="preserve"> can be placed in order from most clinically impactful to least clinically impactful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in order of clinical impact</w:t>
      </w:r>
      <w:r w:rsidR="00EF3049">
        <w:rPr>
          <w:rFonts w:ascii="Times New Roman" w:hAnsi="Times New Roman" w:cs="Times New Roman"/>
          <w:sz w:val="24"/>
          <w:szCs w:val="24"/>
        </w:rPr>
        <w:t>:</w:t>
      </w:r>
      <w:r w:rsidR="00EF3049" w:rsidRPr="00783F18">
        <w:rPr>
          <w:rFonts w:ascii="Times New Roman" w:hAnsi="Times New Roman" w:cs="Times New Roman"/>
          <w:sz w:val="24"/>
          <w:szCs w:val="24"/>
        </w:rPr>
        <w:t xml:space="preserve"> </w:t>
      </w:r>
      <w:r w:rsidRPr="00783F18">
        <w:rPr>
          <w:rFonts w:ascii="Times New Roman" w:hAnsi="Times New Roman" w:cs="Times New Roman"/>
          <w:sz w:val="24"/>
          <w:szCs w:val="24"/>
        </w:rPr>
        <w:t>death, hospitalization, severe disease, any infection). The value tree in Appendix 1 can optionally be replaced with the value tree for this assessment.</w:t>
      </w:r>
    </w:p>
    <w:p w14:paraId="3B790795" w14:textId="2A6853F0" w:rsidR="00783F18" w:rsidRPr="00783F18" w:rsidRDefault="00783F18" w:rsidP="00362430">
      <w:pPr>
        <w:spacing w:line="480" w:lineRule="auto"/>
        <w:ind w:firstLine="360"/>
        <w:rPr>
          <w:rFonts w:ascii="Times New Roman" w:hAnsi="Times New Roman" w:cs="Times New Roman"/>
          <w:sz w:val="24"/>
          <w:szCs w:val="24"/>
        </w:rPr>
      </w:pPr>
      <w:r w:rsidRPr="00783F18">
        <w:rPr>
          <w:rFonts w:ascii="Times New Roman" w:hAnsi="Times New Roman" w:cs="Times New Roman"/>
          <w:sz w:val="24"/>
          <w:szCs w:val="24"/>
        </w:rPr>
        <w:t xml:space="preserve">In the table below, endpoints can be placed in the same order as in the value tree, with rows added to show how endpoints are grouped. Alternatively, endpoints can be placed in order of decreasing clinical impact per event. The endpoints should be sequenced to best support the B-R assessment. Extend the table as needed to </w:t>
      </w:r>
      <w:r w:rsidR="009F7AEB">
        <w:rPr>
          <w:rFonts w:ascii="Times New Roman" w:hAnsi="Times New Roman" w:cs="Times New Roman"/>
          <w:sz w:val="24"/>
          <w:szCs w:val="24"/>
        </w:rPr>
        <w:t xml:space="preserve">for </w:t>
      </w:r>
      <w:r w:rsidRPr="00783F18">
        <w:rPr>
          <w:rFonts w:ascii="Times New Roman" w:hAnsi="Times New Roman" w:cs="Times New Roman"/>
          <w:sz w:val="24"/>
          <w:szCs w:val="24"/>
        </w:rPr>
        <w:t>additional endpoints.</w:t>
      </w:r>
    </w:p>
    <w:p w14:paraId="2D24AFFA" w14:textId="77777777" w:rsidR="00783F18" w:rsidRPr="00783F18" w:rsidRDefault="00783F18" w:rsidP="00362430">
      <w:pPr>
        <w:spacing w:line="480" w:lineRule="auto"/>
        <w:rPr>
          <w:rFonts w:ascii="Times New Roman" w:hAnsi="Times New Roman" w:cs="Times New Roman"/>
          <w:sz w:val="24"/>
          <w:szCs w:val="24"/>
        </w:rPr>
      </w:pPr>
      <w:r w:rsidRPr="00783F18">
        <w:rPr>
          <w:rFonts w:ascii="Times New Roman" w:hAnsi="Times New Roman" w:cs="Times New Roman"/>
          <w:sz w:val="24"/>
          <w:szCs w:val="24"/>
        </w:rPr>
        <w:t>Considerations for definition of endpoints</w:t>
      </w:r>
    </w:p>
    <w:p w14:paraId="1BA05552" w14:textId="308FEC06" w:rsidR="004C2BD7" w:rsidRDefault="00783F18" w:rsidP="00E82BF9">
      <w:pPr>
        <w:numPr>
          <w:ilvl w:val="0"/>
          <w:numId w:val="13"/>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lastRenderedPageBreak/>
        <w:t>Include the precise definition of the event counted within an endpoint, both for benefits and risks. For example, for hospitalizations caused by the disease prevented by the vaccine, how is this hospitalization distinguished from hospitalizations for other causes, or for an adverse event</w:t>
      </w:r>
      <w:r w:rsidR="00E82BF9">
        <w:rPr>
          <w:rFonts w:ascii="Times New Roman" w:hAnsi="Times New Roman" w:cs="Times New Roman"/>
          <w:sz w:val="24"/>
          <w:szCs w:val="24"/>
        </w:rPr>
        <w:t xml:space="preserve">, </w:t>
      </w:r>
      <w:r w:rsidR="00EF3049">
        <w:rPr>
          <w:rFonts w:ascii="Times New Roman" w:hAnsi="Times New Roman" w:cs="Times New Roman"/>
          <w:sz w:val="24"/>
          <w:szCs w:val="24"/>
        </w:rPr>
        <w:t xml:space="preserve">as appropriate, </w:t>
      </w:r>
      <w:r w:rsidRPr="00783F18">
        <w:rPr>
          <w:rFonts w:ascii="Times New Roman" w:hAnsi="Times New Roman" w:cs="Times New Roman"/>
          <w:sz w:val="24"/>
          <w:szCs w:val="24"/>
        </w:rPr>
        <w:t>indicate whether the Brighton Level 1, 2 or 3 definition is used. If an endpoint is labelled “severe” or “serious”, provide the precise definition of severe</w:t>
      </w:r>
      <w:r w:rsidR="00EF3049">
        <w:rPr>
          <w:rFonts w:ascii="Times New Roman" w:hAnsi="Times New Roman" w:cs="Times New Roman"/>
          <w:sz w:val="24"/>
          <w:szCs w:val="24"/>
        </w:rPr>
        <w:t>/</w:t>
      </w:r>
      <w:r w:rsidRPr="00783F18">
        <w:rPr>
          <w:rFonts w:ascii="Times New Roman" w:hAnsi="Times New Roman" w:cs="Times New Roman"/>
          <w:sz w:val="24"/>
          <w:szCs w:val="24"/>
        </w:rPr>
        <w:t>serious used</w:t>
      </w:r>
      <w:r w:rsidR="00E82BF9">
        <w:rPr>
          <w:rFonts w:ascii="Times New Roman" w:hAnsi="Times New Roman" w:cs="Times New Roman"/>
          <w:sz w:val="24"/>
          <w:szCs w:val="24"/>
        </w:rPr>
        <w:t>.</w:t>
      </w:r>
    </w:p>
    <w:p w14:paraId="737FE348" w14:textId="1E832DCB" w:rsidR="00783F18" w:rsidRPr="00783F18" w:rsidRDefault="00DB71CE" w:rsidP="00362430">
      <w:pPr>
        <w:numPr>
          <w:ilvl w:val="0"/>
          <w:numId w:val="1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83F18" w:rsidRPr="00783F18">
        <w:rPr>
          <w:rFonts w:ascii="Times New Roman" w:hAnsi="Times New Roman" w:cs="Times New Roman"/>
          <w:sz w:val="24"/>
          <w:szCs w:val="24"/>
        </w:rPr>
        <w:t>if this information is unavailable, indicate what is known about the events from each data source used. In many cases, investigators decide to categorize hospitalized events as “serious”, which is generally justifiable and saves resources needed to classify the events (Note that, for adverse event reporting in Vaccine Adverse Event Reporting System (VAERS), a hospitalized event is defined as “serious”)</w:t>
      </w:r>
      <w:proofErr w:type="gramStart"/>
      <w:r w:rsidR="00BE5BE4">
        <w:rPr>
          <w:rFonts w:ascii="Times New Roman" w:hAnsi="Times New Roman" w:cs="Times New Roman"/>
          <w:sz w:val="24"/>
          <w:szCs w:val="24"/>
        </w:rPr>
        <w:t>.</w:t>
      </w:r>
      <w:r w:rsidR="00BE5BE4" w:rsidRPr="00BE5BE4">
        <w:rPr>
          <w:rFonts w:ascii="Times New Roman" w:hAnsi="Times New Roman" w:cs="Times New Roman"/>
          <w:sz w:val="24"/>
          <w:szCs w:val="24"/>
          <w:vertAlign w:val="superscript"/>
        </w:rPr>
        <w:t>20</w:t>
      </w:r>
      <w:proofErr w:type="gramEnd"/>
      <w:r w:rsidR="00BE5BE4">
        <w:rPr>
          <w:rFonts w:ascii="Times New Roman" w:hAnsi="Times New Roman" w:cs="Times New Roman"/>
          <w:noProof/>
          <w:sz w:val="24"/>
          <w:szCs w:val="24"/>
          <w:lang w:val="en-US"/>
        </w:rPr>
        <w:t xml:space="preserve"> </w:t>
      </w:r>
    </w:p>
    <w:p w14:paraId="0C3F3CB7" w14:textId="298086D6" w:rsidR="00783F18" w:rsidRPr="00783F18" w:rsidRDefault="00783F18" w:rsidP="00362430">
      <w:pPr>
        <w:numPr>
          <w:ilvl w:val="0"/>
          <w:numId w:val="13"/>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For an endpoint measured with an exposure-time rate (event or events per person-year), indicate whether the events are counted once (at least once) per individual or all events that an individual experiences are counted</w:t>
      </w:r>
      <w:r w:rsidR="007463F4">
        <w:rPr>
          <w:rFonts w:ascii="Times New Roman" w:hAnsi="Times New Roman" w:cs="Times New Roman"/>
          <w:sz w:val="24"/>
          <w:szCs w:val="24"/>
        </w:rPr>
        <w:t xml:space="preserve"> instead</w:t>
      </w:r>
      <w:r w:rsidRPr="00783F18">
        <w:rPr>
          <w:rFonts w:ascii="Times New Roman" w:hAnsi="Times New Roman" w:cs="Times New Roman"/>
          <w:sz w:val="24"/>
          <w:szCs w:val="24"/>
        </w:rPr>
        <w:t xml:space="preserve">. The challenges of obtaining reliable adverse event information and the practical limitations on research resources often lead towards counting </w:t>
      </w:r>
      <w:r w:rsidR="007463F4">
        <w:rPr>
          <w:rFonts w:ascii="Times New Roman" w:hAnsi="Times New Roman" w:cs="Times New Roman"/>
          <w:sz w:val="24"/>
          <w:szCs w:val="24"/>
        </w:rPr>
        <w:t xml:space="preserve">events only once </w:t>
      </w:r>
      <w:r w:rsidRPr="00783F18">
        <w:rPr>
          <w:rFonts w:ascii="Times New Roman" w:hAnsi="Times New Roman" w:cs="Times New Roman"/>
          <w:sz w:val="24"/>
          <w:szCs w:val="24"/>
        </w:rPr>
        <w:t>per individual.</w:t>
      </w:r>
      <w:r w:rsidR="007557FD" w:rsidRPr="007557FD">
        <w:rPr>
          <w:rFonts w:ascii="Times New Roman" w:hAnsi="Times New Roman" w:cs="Times New Roman"/>
          <w:sz w:val="24"/>
          <w:szCs w:val="24"/>
        </w:rPr>
        <w:t xml:space="preserve"> </w:t>
      </w:r>
      <w:r w:rsidR="007557FD">
        <w:rPr>
          <w:rFonts w:ascii="Times New Roman" w:hAnsi="Times New Roman" w:cs="Times New Roman"/>
          <w:sz w:val="24"/>
          <w:szCs w:val="24"/>
        </w:rPr>
        <w:t>However, this decision could become more complex when events (e.g., adverse event hospitalizations) are investigated for multiple vaccine doses, due to difficulties in assigning a late hospitalization to either dose.</w:t>
      </w:r>
    </w:p>
    <w:p w14:paraId="7109002F" w14:textId="42C17B29" w:rsidR="00783F18" w:rsidRPr="00783F18" w:rsidRDefault="00783F18" w:rsidP="00362430">
      <w:pPr>
        <w:numPr>
          <w:ilvl w:val="0"/>
          <w:numId w:val="13"/>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 xml:space="preserve">Indicate the time period from vaccination over which events are collected, the benefit window or risk window for benefits and/or risks, respectively. (If unknown, a reasonable convention </w:t>
      </w:r>
      <w:r w:rsidR="005272F8">
        <w:rPr>
          <w:rFonts w:ascii="Times New Roman" w:hAnsi="Times New Roman" w:cs="Times New Roman"/>
          <w:sz w:val="24"/>
          <w:szCs w:val="24"/>
        </w:rPr>
        <w:t xml:space="preserve">for benefits </w:t>
      </w:r>
      <w:r w:rsidRPr="00783F18">
        <w:rPr>
          <w:rFonts w:ascii="Times New Roman" w:hAnsi="Times New Roman" w:cs="Times New Roman"/>
          <w:sz w:val="24"/>
          <w:szCs w:val="24"/>
        </w:rPr>
        <w:t xml:space="preserve">is to use a conservative 6-month period). </w:t>
      </w:r>
      <w:r w:rsidR="005272F8">
        <w:rPr>
          <w:rFonts w:ascii="Times New Roman" w:hAnsi="Times New Roman" w:cs="Times New Roman"/>
          <w:sz w:val="24"/>
          <w:szCs w:val="24"/>
        </w:rPr>
        <w:t xml:space="preserve">For risks, investigators can often use prior knowledge regarding the time window (risk window) post-vaccination during which the event can be considered as vaccine-associated (if unknown, reasonable conventions for most risks could be 30 or 42 days post each </w:t>
      </w:r>
      <w:r w:rsidR="005272F8">
        <w:rPr>
          <w:rFonts w:ascii="Times New Roman" w:hAnsi="Times New Roman" w:cs="Times New Roman"/>
          <w:sz w:val="24"/>
          <w:szCs w:val="24"/>
        </w:rPr>
        <w:lastRenderedPageBreak/>
        <w:t xml:space="preserve">vaccine dose). </w:t>
      </w:r>
      <w:r w:rsidRPr="00783F18">
        <w:rPr>
          <w:rFonts w:ascii="Times New Roman" w:hAnsi="Times New Roman" w:cs="Times New Roman"/>
          <w:sz w:val="24"/>
          <w:szCs w:val="24"/>
        </w:rPr>
        <w:t xml:space="preserve">Consider including the benefit window or risk window in the endpoint name to lessen ambiguity when communicating results or when multiple windows for the same endpoint are studied. </w:t>
      </w:r>
    </w:p>
    <w:p w14:paraId="015904C3" w14:textId="77777777" w:rsidR="00783F18" w:rsidRPr="00783F18" w:rsidRDefault="00783F18" w:rsidP="00362430">
      <w:pPr>
        <w:numPr>
          <w:ilvl w:val="0"/>
          <w:numId w:val="13"/>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Indicate which subjects are assessed in the endpoint. For clinical trials, this could be an intent to treat analysis set, a treatment emergent analysis set, a safety analysis set, etc.</w:t>
      </w:r>
    </w:p>
    <w:p w14:paraId="4F185FB7" w14:textId="6E75F56D" w:rsidR="00783F18" w:rsidRPr="00783F18" w:rsidRDefault="00783F18" w:rsidP="00362430">
      <w:pPr>
        <w:numPr>
          <w:ilvl w:val="0"/>
          <w:numId w:val="13"/>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Indicate the type of measurement. This module uses cases seen in a hypothetical vaccinated population (e.g., 1,000,000 individuals). However, measurements may be proportions or incidence rates and may be in units of decimal (0 - 1), percent (0 - 100) or events in any size of hypothetical population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100,000 individuals vaccinated).</w:t>
      </w:r>
    </w:p>
    <w:p w14:paraId="751CD621" w14:textId="77777777" w:rsidR="00783F18" w:rsidRPr="00783F18" w:rsidRDefault="00783F18" w:rsidP="00362430">
      <w:pPr>
        <w:numPr>
          <w:ilvl w:val="0"/>
          <w:numId w:val="13"/>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 xml:space="preserve">Describe any known limitations for the endpoint itself (e.g., surrogate outcome (a biomarker vs. clinical event that it may reflect), inconsistent reporting of events in different regions, potential misclassification of the endpoint, hospitalizations that may include those due to non-vaccine/non-infection-related events).  Limitations on the data sources used for endpoints are described in Section 3: Data Sources. </w:t>
      </w:r>
    </w:p>
    <w:p w14:paraId="6E4FB5CF" w14:textId="77777777" w:rsidR="00783F18" w:rsidRPr="00783F18" w:rsidRDefault="00783F18" w:rsidP="00362430">
      <w:pPr>
        <w:numPr>
          <w:ilvl w:val="0"/>
          <w:numId w:val="13"/>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Note that the definition of an endpoint is distinct from the statistical metrics that may be computed from it. For example, an endpoint may be defined as a proportion, while the statistical metric could be the risk difference between vaccine and comparator.</w:t>
      </w:r>
    </w:p>
    <w:tbl>
      <w:tblPr>
        <w:tblW w:w="102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5"/>
        <w:gridCol w:w="1440"/>
        <w:gridCol w:w="1440"/>
      </w:tblGrid>
      <w:tr w:rsidR="00783F18" w:rsidRPr="00783F18" w14:paraId="19711C20" w14:textId="77777777" w:rsidTr="008001AE">
        <w:tc>
          <w:tcPr>
            <w:tcW w:w="7375" w:type="dxa"/>
          </w:tcPr>
          <w:p w14:paraId="17B0276C"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Question</w:t>
            </w:r>
          </w:p>
        </w:tc>
        <w:tc>
          <w:tcPr>
            <w:tcW w:w="1440" w:type="dxa"/>
          </w:tcPr>
          <w:p w14:paraId="5BE517C0"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Responses</w:t>
            </w:r>
          </w:p>
        </w:tc>
        <w:tc>
          <w:tcPr>
            <w:tcW w:w="1440" w:type="dxa"/>
          </w:tcPr>
          <w:p w14:paraId="7ECCFF75"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Comments</w:t>
            </w:r>
          </w:p>
        </w:tc>
      </w:tr>
      <w:tr w:rsidR="00783F18" w:rsidRPr="00783F18" w14:paraId="68CC5599" w14:textId="77777777" w:rsidTr="008001AE">
        <w:trPr>
          <w:trHeight w:val="52"/>
        </w:trPr>
        <w:tc>
          <w:tcPr>
            <w:tcW w:w="10255" w:type="dxa"/>
            <w:gridSpan w:val="3"/>
          </w:tcPr>
          <w:p w14:paraId="2350AB67"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sz w:val="24"/>
                <w:szCs w:val="24"/>
              </w:rPr>
              <w:t xml:space="preserve">     </w:t>
            </w:r>
            <w:r w:rsidRPr="00783F18">
              <w:rPr>
                <w:rFonts w:ascii="Times New Roman" w:hAnsi="Times New Roman" w:cs="Times New Roman"/>
                <w:b/>
                <w:sz w:val="24"/>
                <w:szCs w:val="24"/>
              </w:rPr>
              <w:t>Benefit #1</w:t>
            </w:r>
          </w:p>
        </w:tc>
      </w:tr>
      <w:tr w:rsidR="00783F18" w:rsidRPr="00783F18" w14:paraId="7DCDE982" w14:textId="77777777" w:rsidTr="008001AE">
        <w:tc>
          <w:tcPr>
            <w:tcW w:w="7375" w:type="dxa"/>
          </w:tcPr>
          <w:p w14:paraId="01FCBDDB"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Name </w:t>
            </w:r>
          </w:p>
          <w:p w14:paraId="580C23EB" w14:textId="77777777"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 xml:space="preserve">(e.g. </w:t>
            </w:r>
          </w:p>
          <w:p w14:paraId="64CAD267" w14:textId="2E602114"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 xml:space="preserve">- Any death (or any death within a given time period after vaccination,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30 days)</w:t>
            </w:r>
          </w:p>
          <w:p w14:paraId="53F696B4" w14:textId="77777777"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 xml:space="preserve">- Death due to target pathogen infection </w:t>
            </w:r>
          </w:p>
          <w:p w14:paraId="360056B3" w14:textId="77777777"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 xml:space="preserve">- ICU admission </w:t>
            </w:r>
          </w:p>
          <w:p w14:paraId="460AECAA" w14:textId="77777777"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 Hospitalization due to infection</w:t>
            </w:r>
          </w:p>
          <w:p w14:paraId="2C261538" w14:textId="77777777"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lastRenderedPageBreak/>
              <w:t>- Serious disease, if different from hospitalization</w:t>
            </w:r>
          </w:p>
          <w:p w14:paraId="4C08C88E" w14:textId="77777777"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 Symptomatic infection</w:t>
            </w:r>
          </w:p>
          <w:p w14:paraId="0802C6CE" w14:textId="77777777"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 Asymptomatic infection (if detection is possible)</w:t>
            </w:r>
          </w:p>
          <w:p w14:paraId="6D9190CB" w14:textId="141406C9"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 Long-term sequelae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major adverse coronary events, long COVID following SARS CoV-2 infection)</w:t>
            </w:r>
          </w:p>
        </w:tc>
        <w:tc>
          <w:tcPr>
            <w:tcW w:w="1440" w:type="dxa"/>
          </w:tcPr>
          <w:p w14:paraId="046CB249" w14:textId="77777777" w:rsidR="00783F18" w:rsidRPr="00783F18" w:rsidRDefault="00783F18" w:rsidP="008001AE">
            <w:pPr>
              <w:rPr>
                <w:rFonts w:ascii="Times New Roman" w:hAnsi="Times New Roman" w:cs="Times New Roman"/>
                <w:sz w:val="24"/>
                <w:szCs w:val="24"/>
              </w:rPr>
            </w:pPr>
          </w:p>
        </w:tc>
        <w:tc>
          <w:tcPr>
            <w:tcW w:w="1440" w:type="dxa"/>
          </w:tcPr>
          <w:p w14:paraId="59005BC8" w14:textId="77777777" w:rsidR="00783F18" w:rsidRPr="00783F18" w:rsidRDefault="00783F18" w:rsidP="008001AE">
            <w:pPr>
              <w:rPr>
                <w:rFonts w:ascii="Times New Roman" w:hAnsi="Times New Roman" w:cs="Times New Roman"/>
                <w:sz w:val="24"/>
                <w:szCs w:val="24"/>
              </w:rPr>
            </w:pPr>
          </w:p>
        </w:tc>
      </w:tr>
      <w:tr w:rsidR="00783F18" w:rsidRPr="00783F18" w14:paraId="4FEB42C5" w14:textId="77777777" w:rsidTr="008001AE">
        <w:tc>
          <w:tcPr>
            <w:tcW w:w="7375" w:type="dxa"/>
          </w:tcPr>
          <w:p w14:paraId="5F8428F8" w14:textId="77777777"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 xml:space="preserve">Definition and benefit window (per Statistical Analysis Plan). </w:t>
            </w:r>
          </w:p>
          <w:p w14:paraId="6C249EF6" w14:textId="167E46DB"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Number of subjects hospitalized with physician-confirmed infection within one year of dosing per 1,000,000 individuals vaccinated)</w:t>
            </w:r>
          </w:p>
        </w:tc>
        <w:tc>
          <w:tcPr>
            <w:tcW w:w="1440" w:type="dxa"/>
          </w:tcPr>
          <w:p w14:paraId="53F340A5" w14:textId="77777777" w:rsidR="00783F18" w:rsidRPr="00783F18" w:rsidRDefault="00783F18" w:rsidP="008001AE">
            <w:pPr>
              <w:rPr>
                <w:rFonts w:ascii="Times New Roman" w:hAnsi="Times New Roman" w:cs="Times New Roman"/>
                <w:sz w:val="24"/>
                <w:szCs w:val="24"/>
              </w:rPr>
            </w:pPr>
          </w:p>
        </w:tc>
        <w:tc>
          <w:tcPr>
            <w:tcW w:w="1440" w:type="dxa"/>
          </w:tcPr>
          <w:p w14:paraId="3603EEC1" w14:textId="77777777" w:rsidR="00783F18" w:rsidRPr="00783F18" w:rsidRDefault="00783F18" w:rsidP="008001AE">
            <w:pPr>
              <w:rPr>
                <w:rFonts w:ascii="Times New Roman" w:hAnsi="Times New Roman" w:cs="Times New Roman"/>
                <w:sz w:val="24"/>
                <w:szCs w:val="24"/>
              </w:rPr>
            </w:pPr>
          </w:p>
        </w:tc>
      </w:tr>
      <w:tr w:rsidR="00783F18" w:rsidRPr="00783F18" w14:paraId="382BFB8E" w14:textId="77777777" w:rsidTr="008001AE">
        <w:tc>
          <w:tcPr>
            <w:tcW w:w="7375" w:type="dxa"/>
          </w:tcPr>
          <w:p w14:paraId="0F6D658C"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Key or not key for B-R and rationale</w:t>
            </w:r>
          </w:p>
        </w:tc>
        <w:tc>
          <w:tcPr>
            <w:tcW w:w="1440" w:type="dxa"/>
          </w:tcPr>
          <w:p w14:paraId="72DD6780" w14:textId="77777777" w:rsidR="00783F18" w:rsidRPr="00783F18" w:rsidRDefault="00783F18" w:rsidP="008001AE">
            <w:pPr>
              <w:rPr>
                <w:rFonts w:ascii="Times New Roman" w:hAnsi="Times New Roman" w:cs="Times New Roman"/>
                <w:i/>
                <w:sz w:val="24"/>
                <w:szCs w:val="24"/>
              </w:rPr>
            </w:pPr>
          </w:p>
        </w:tc>
        <w:tc>
          <w:tcPr>
            <w:tcW w:w="1440" w:type="dxa"/>
          </w:tcPr>
          <w:p w14:paraId="32D889D2" w14:textId="77777777" w:rsidR="00783F18" w:rsidRPr="00783F18" w:rsidRDefault="00783F18" w:rsidP="008001AE">
            <w:pPr>
              <w:rPr>
                <w:rFonts w:ascii="Times New Roman" w:hAnsi="Times New Roman" w:cs="Times New Roman"/>
                <w:i/>
                <w:sz w:val="24"/>
                <w:szCs w:val="24"/>
              </w:rPr>
            </w:pPr>
          </w:p>
        </w:tc>
      </w:tr>
      <w:tr w:rsidR="00783F18" w:rsidRPr="00783F18" w14:paraId="3F0BDFD9" w14:textId="77777777" w:rsidTr="008001AE">
        <w:tc>
          <w:tcPr>
            <w:tcW w:w="7375" w:type="dxa"/>
          </w:tcPr>
          <w:p w14:paraId="0A5E4E41"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Identified or potential benefit and rationale</w:t>
            </w:r>
          </w:p>
        </w:tc>
        <w:tc>
          <w:tcPr>
            <w:tcW w:w="1440" w:type="dxa"/>
          </w:tcPr>
          <w:p w14:paraId="5EECDB05" w14:textId="77777777" w:rsidR="00783F18" w:rsidRPr="00783F18" w:rsidRDefault="00783F18" w:rsidP="008001AE">
            <w:pPr>
              <w:rPr>
                <w:rFonts w:ascii="Times New Roman" w:hAnsi="Times New Roman" w:cs="Times New Roman"/>
                <w:i/>
                <w:sz w:val="24"/>
                <w:szCs w:val="24"/>
              </w:rPr>
            </w:pPr>
          </w:p>
        </w:tc>
        <w:tc>
          <w:tcPr>
            <w:tcW w:w="1440" w:type="dxa"/>
          </w:tcPr>
          <w:p w14:paraId="3F9B2CA1" w14:textId="77777777" w:rsidR="00783F18" w:rsidRPr="00783F18" w:rsidRDefault="00783F18" w:rsidP="008001AE">
            <w:pPr>
              <w:rPr>
                <w:rFonts w:ascii="Times New Roman" w:hAnsi="Times New Roman" w:cs="Times New Roman"/>
                <w:i/>
                <w:sz w:val="24"/>
                <w:szCs w:val="24"/>
              </w:rPr>
            </w:pPr>
          </w:p>
        </w:tc>
      </w:tr>
      <w:tr w:rsidR="00783F18" w:rsidRPr="00783F18" w14:paraId="7937D293" w14:textId="77777777" w:rsidTr="008001AE">
        <w:tc>
          <w:tcPr>
            <w:tcW w:w="7375" w:type="dxa"/>
          </w:tcPr>
          <w:p w14:paraId="45976CFC" w14:textId="49B83441"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Clinical impact / severity (</w:t>
            </w:r>
            <w:r w:rsidR="005D17E3" w:rsidRPr="00783F18">
              <w:rPr>
                <w:rFonts w:ascii="Times New Roman" w:hAnsi="Times New Roman" w:cs="Times New Roman"/>
                <w:sz w:val="24"/>
                <w:szCs w:val="24"/>
              </w:rPr>
              <w:t>e.g.,</w:t>
            </w:r>
            <w:r w:rsidRPr="00783F18">
              <w:rPr>
                <w:rFonts w:ascii="Times New Roman" w:hAnsi="Times New Roman" w:cs="Times New Roman"/>
                <w:sz w:val="24"/>
                <w:szCs w:val="24"/>
              </w:rPr>
              <w:t xml:space="preserve"> most hospitalizations last at least </w:t>
            </w:r>
            <w:r w:rsidR="00550946">
              <w:rPr>
                <w:rFonts w:ascii="Times New Roman" w:hAnsi="Times New Roman" w:cs="Times New Roman"/>
                <w:sz w:val="24"/>
                <w:szCs w:val="24"/>
              </w:rPr>
              <w:t xml:space="preserve">a few days </w:t>
            </w:r>
            <w:r w:rsidRPr="00783F18">
              <w:rPr>
                <w:rFonts w:ascii="Times New Roman" w:hAnsi="Times New Roman" w:cs="Times New Roman"/>
                <w:sz w:val="24"/>
                <w:szCs w:val="24"/>
              </w:rPr>
              <w:t xml:space="preserve">and </w:t>
            </w:r>
            <w:r w:rsidR="00550946" w:rsidRPr="00783F18">
              <w:rPr>
                <w:rFonts w:ascii="Times New Roman" w:hAnsi="Times New Roman" w:cs="Times New Roman"/>
                <w:sz w:val="24"/>
                <w:szCs w:val="24"/>
              </w:rPr>
              <w:t>m</w:t>
            </w:r>
            <w:r w:rsidR="00550946">
              <w:rPr>
                <w:rFonts w:ascii="Times New Roman" w:hAnsi="Times New Roman" w:cs="Times New Roman"/>
                <w:sz w:val="24"/>
                <w:szCs w:val="24"/>
              </w:rPr>
              <w:t>ight</w:t>
            </w:r>
            <w:r w:rsidR="00550946" w:rsidRPr="00783F18">
              <w:rPr>
                <w:rFonts w:ascii="Times New Roman" w:hAnsi="Times New Roman" w:cs="Times New Roman"/>
                <w:sz w:val="24"/>
                <w:szCs w:val="24"/>
              </w:rPr>
              <w:t xml:space="preserve"> </w:t>
            </w:r>
            <w:r w:rsidRPr="00783F18">
              <w:rPr>
                <w:rFonts w:ascii="Times New Roman" w:hAnsi="Times New Roman" w:cs="Times New Roman"/>
                <w:sz w:val="24"/>
                <w:szCs w:val="24"/>
              </w:rPr>
              <w:t>require time in an ICU)</w:t>
            </w:r>
          </w:p>
        </w:tc>
        <w:tc>
          <w:tcPr>
            <w:tcW w:w="1440" w:type="dxa"/>
          </w:tcPr>
          <w:p w14:paraId="5D3CE1A0" w14:textId="77777777" w:rsidR="00783F18" w:rsidRPr="00783F18" w:rsidRDefault="00783F18" w:rsidP="008001AE">
            <w:pPr>
              <w:rPr>
                <w:rFonts w:ascii="Times New Roman" w:hAnsi="Times New Roman" w:cs="Times New Roman"/>
                <w:i/>
                <w:sz w:val="24"/>
                <w:szCs w:val="24"/>
              </w:rPr>
            </w:pPr>
          </w:p>
        </w:tc>
        <w:tc>
          <w:tcPr>
            <w:tcW w:w="1440" w:type="dxa"/>
          </w:tcPr>
          <w:p w14:paraId="03A8AE6A" w14:textId="77777777" w:rsidR="00783F18" w:rsidRPr="00783F18" w:rsidRDefault="00783F18" w:rsidP="008001AE">
            <w:pPr>
              <w:rPr>
                <w:rFonts w:ascii="Times New Roman" w:hAnsi="Times New Roman" w:cs="Times New Roman"/>
                <w:i/>
                <w:sz w:val="24"/>
                <w:szCs w:val="24"/>
              </w:rPr>
            </w:pPr>
          </w:p>
        </w:tc>
      </w:tr>
      <w:tr w:rsidR="00783F18" w:rsidRPr="00783F18" w14:paraId="4B4DF78E" w14:textId="77777777" w:rsidTr="008001AE">
        <w:trPr>
          <w:trHeight w:val="214"/>
        </w:trPr>
        <w:tc>
          <w:tcPr>
            <w:tcW w:w="7375" w:type="dxa"/>
          </w:tcPr>
          <w:p w14:paraId="6D9648D6" w14:textId="77777777"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Rationale for inclusion (why is this endpoint included in B-R, if not obvious)</w:t>
            </w:r>
          </w:p>
        </w:tc>
        <w:tc>
          <w:tcPr>
            <w:tcW w:w="1440" w:type="dxa"/>
          </w:tcPr>
          <w:p w14:paraId="39752843" w14:textId="77777777" w:rsidR="00783F18" w:rsidRPr="00783F18" w:rsidRDefault="00783F18" w:rsidP="008001AE">
            <w:pPr>
              <w:rPr>
                <w:rFonts w:ascii="Times New Roman" w:hAnsi="Times New Roman" w:cs="Times New Roman"/>
                <w:sz w:val="24"/>
                <w:szCs w:val="24"/>
              </w:rPr>
            </w:pPr>
          </w:p>
        </w:tc>
        <w:tc>
          <w:tcPr>
            <w:tcW w:w="1440" w:type="dxa"/>
          </w:tcPr>
          <w:p w14:paraId="5E96692E" w14:textId="77777777" w:rsidR="00783F18" w:rsidRPr="00783F18" w:rsidRDefault="00783F18" w:rsidP="008001AE">
            <w:pPr>
              <w:rPr>
                <w:rFonts w:ascii="Times New Roman" w:hAnsi="Times New Roman" w:cs="Times New Roman"/>
                <w:sz w:val="24"/>
                <w:szCs w:val="24"/>
              </w:rPr>
            </w:pPr>
          </w:p>
        </w:tc>
      </w:tr>
      <w:tr w:rsidR="00783F18" w:rsidRPr="00783F18" w14:paraId="4B596F55" w14:textId="77777777" w:rsidTr="008001AE">
        <w:tc>
          <w:tcPr>
            <w:tcW w:w="7375" w:type="dxa"/>
          </w:tcPr>
          <w:p w14:paraId="091EE75E" w14:textId="6950BA01"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Limitations (cannot be avoided) and uncertainties (potentially mitigatable) of this endpoint (</w:t>
            </w:r>
            <w:proofErr w:type="gramStart"/>
            <w:r w:rsidRPr="00783F18">
              <w:rPr>
                <w:rFonts w:ascii="Times New Roman" w:hAnsi="Times New Roman" w:cs="Times New Roman"/>
                <w:sz w:val="24"/>
                <w:szCs w:val="24"/>
              </w:rPr>
              <w:t>e.g.</w:t>
            </w:r>
            <w:proofErr w:type="gramEnd"/>
            <w:r w:rsidRPr="00783F18">
              <w:rPr>
                <w:rFonts w:ascii="Times New Roman" w:hAnsi="Times New Roman" w:cs="Times New Roman"/>
                <w:sz w:val="24"/>
                <w:szCs w:val="24"/>
              </w:rPr>
              <w:t xml:space="preserve"> </w:t>
            </w:r>
            <w:r w:rsidR="007D31D9">
              <w:rPr>
                <w:rFonts w:ascii="Times New Roman" w:hAnsi="Times New Roman" w:cs="Times New Roman"/>
                <w:sz w:val="24"/>
                <w:szCs w:val="24"/>
              </w:rPr>
              <w:t xml:space="preserve">the disease could be difficult to diagnose, </w:t>
            </w:r>
            <w:r w:rsidRPr="00783F18">
              <w:rPr>
                <w:rFonts w:ascii="Times New Roman" w:hAnsi="Times New Roman" w:cs="Times New Roman"/>
                <w:sz w:val="24"/>
                <w:szCs w:val="24"/>
              </w:rPr>
              <w:t>not all events may be reported, mild events cannot be obtained reliably).</w:t>
            </w:r>
          </w:p>
        </w:tc>
        <w:tc>
          <w:tcPr>
            <w:tcW w:w="1440" w:type="dxa"/>
          </w:tcPr>
          <w:p w14:paraId="019EC064" w14:textId="77777777" w:rsidR="00783F18" w:rsidRPr="00783F18" w:rsidRDefault="00783F18" w:rsidP="008001AE">
            <w:pPr>
              <w:rPr>
                <w:rFonts w:ascii="Times New Roman" w:hAnsi="Times New Roman" w:cs="Times New Roman"/>
                <w:sz w:val="24"/>
                <w:szCs w:val="24"/>
              </w:rPr>
            </w:pPr>
          </w:p>
        </w:tc>
        <w:tc>
          <w:tcPr>
            <w:tcW w:w="1440" w:type="dxa"/>
          </w:tcPr>
          <w:p w14:paraId="42477B7E" w14:textId="77777777" w:rsidR="00783F18" w:rsidRPr="00783F18" w:rsidRDefault="00783F18" w:rsidP="008001AE">
            <w:pPr>
              <w:rPr>
                <w:rFonts w:ascii="Times New Roman" w:hAnsi="Times New Roman" w:cs="Times New Roman"/>
                <w:sz w:val="24"/>
                <w:szCs w:val="24"/>
              </w:rPr>
            </w:pPr>
          </w:p>
        </w:tc>
      </w:tr>
      <w:tr w:rsidR="00783F18" w:rsidRPr="00783F18" w14:paraId="43EE0678" w14:textId="77777777" w:rsidTr="008001AE">
        <w:trPr>
          <w:trHeight w:val="268"/>
        </w:trPr>
        <w:tc>
          <w:tcPr>
            <w:tcW w:w="10255" w:type="dxa"/>
            <w:gridSpan w:val="3"/>
          </w:tcPr>
          <w:p w14:paraId="4110FE06"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Benefit #2</w:t>
            </w:r>
          </w:p>
        </w:tc>
      </w:tr>
      <w:tr w:rsidR="00783F18" w:rsidRPr="00783F18" w14:paraId="3CF847FF" w14:textId="77777777" w:rsidTr="008001AE">
        <w:tc>
          <w:tcPr>
            <w:tcW w:w="7375" w:type="dxa"/>
          </w:tcPr>
          <w:p w14:paraId="1D7AFEB7"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Name</w:t>
            </w:r>
          </w:p>
        </w:tc>
        <w:tc>
          <w:tcPr>
            <w:tcW w:w="1440" w:type="dxa"/>
          </w:tcPr>
          <w:p w14:paraId="128A7326" w14:textId="77777777" w:rsidR="00783F18" w:rsidRPr="00783F18" w:rsidRDefault="00783F18" w:rsidP="008001AE">
            <w:pPr>
              <w:rPr>
                <w:rFonts w:ascii="Times New Roman" w:hAnsi="Times New Roman" w:cs="Times New Roman"/>
                <w:sz w:val="24"/>
                <w:szCs w:val="24"/>
              </w:rPr>
            </w:pPr>
          </w:p>
        </w:tc>
        <w:tc>
          <w:tcPr>
            <w:tcW w:w="1440" w:type="dxa"/>
          </w:tcPr>
          <w:p w14:paraId="647022EA" w14:textId="77777777" w:rsidR="00783F18" w:rsidRPr="00783F18" w:rsidRDefault="00783F18" w:rsidP="008001AE">
            <w:pPr>
              <w:rPr>
                <w:rFonts w:ascii="Times New Roman" w:hAnsi="Times New Roman" w:cs="Times New Roman"/>
                <w:sz w:val="24"/>
                <w:szCs w:val="24"/>
              </w:rPr>
            </w:pPr>
          </w:p>
        </w:tc>
      </w:tr>
      <w:tr w:rsidR="00783F18" w:rsidRPr="00783F18" w14:paraId="40BB285B" w14:textId="77777777" w:rsidTr="008001AE">
        <w:tc>
          <w:tcPr>
            <w:tcW w:w="7375" w:type="dxa"/>
          </w:tcPr>
          <w:p w14:paraId="1BEEC513"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Definition and benefit window </w:t>
            </w:r>
          </w:p>
        </w:tc>
        <w:tc>
          <w:tcPr>
            <w:tcW w:w="1440" w:type="dxa"/>
          </w:tcPr>
          <w:p w14:paraId="320B2FA9" w14:textId="77777777" w:rsidR="00783F18" w:rsidRPr="00783F18" w:rsidRDefault="00783F18" w:rsidP="008001AE">
            <w:pPr>
              <w:rPr>
                <w:rFonts w:ascii="Times New Roman" w:hAnsi="Times New Roman" w:cs="Times New Roman"/>
                <w:sz w:val="24"/>
                <w:szCs w:val="24"/>
              </w:rPr>
            </w:pPr>
          </w:p>
        </w:tc>
        <w:tc>
          <w:tcPr>
            <w:tcW w:w="1440" w:type="dxa"/>
          </w:tcPr>
          <w:p w14:paraId="7230445A" w14:textId="77777777" w:rsidR="00783F18" w:rsidRPr="00783F18" w:rsidRDefault="00783F18" w:rsidP="008001AE">
            <w:pPr>
              <w:rPr>
                <w:rFonts w:ascii="Times New Roman" w:hAnsi="Times New Roman" w:cs="Times New Roman"/>
                <w:sz w:val="24"/>
                <w:szCs w:val="24"/>
              </w:rPr>
            </w:pPr>
          </w:p>
        </w:tc>
      </w:tr>
      <w:tr w:rsidR="00783F18" w:rsidRPr="00783F18" w14:paraId="79402C9B" w14:textId="77777777" w:rsidTr="008001AE">
        <w:tc>
          <w:tcPr>
            <w:tcW w:w="7375" w:type="dxa"/>
          </w:tcPr>
          <w:p w14:paraId="6708080B"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Key or not key for B-R and rationale</w:t>
            </w:r>
          </w:p>
        </w:tc>
        <w:tc>
          <w:tcPr>
            <w:tcW w:w="1440" w:type="dxa"/>
          </w:tcPr>
          <w:p w14:paraId="3A2977CC" w14:textId="77777777" w:rsidR="00783F18" w:rsidRPr="00783F18" w:rsidRDefault="00783F18" w:rsidP="008001AE">
            <w:pPr>
              <w:rPr>
                <w:rFonts w:ascii="Times New Roman" w:hAnsi="Times New Roman" w:cs="Times New Roman"/>
                <w:sz w:val="24"/>
                <w:szCs w:val="24"/>
              </w:rPr>
            </w:pPr>
          </w:p>
        </w:tc>
        <w:tc>
          <w:tcPr>
            <w:tcW w:w="1440" w:type="dxa"/>
          </w:tcPr>
          <w:p w14:paraId="63E592DE" w14:textId="77777777" w:rsidR="00783F18" w:rsidRPr="00783F18" w:rsidRDefault="00783F18" w:rsidP="008001AE">
            <w:pPr>
              <w:rPr>
                <w:rFonts w:ascii="Times New Roman" w:hAnsi="Times New Roman" w:cs="Times New Roman"/>
                <w:sz w:val="24"/>
                <w:szCs w:val="24"/>
              </w:rPr>
            </w:pPr>
          </w:p>
        </w:tc>
      </w:tr>
      <w:tr w:rsidR="00783F18" w:rsidRPr="00783F18" w14:paraId="4EF456EF" w14:textId="77777777" w:rsidTr="008001AE">
        <w:tc>
          <w:tcPr>
            <w:tcW w:w="7375" w:type="dxa"/>
          </w:tcPr>
          <w:p w14:paraId="2DFC2DF8"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Identified or potential and rationale</w:t>
            </w:r>
          </w:p>
        </w:tc>
        <w:tc>
          <w:tcPr>
            <w:tcW w:w="1440" w:type="dxa"/>
          </w:tcPr>
          <w:p w14:paraId="3E7C6015" w14:textId="77777777" w:rsidR="00783F18" w:rsidRPr="00783F18" w:rsidRDefault="00783F18" w:rsidP="008001AE">
            <w:pPr>
              <w:rPr>
                <w:rFonts w:ascii="Times New Roman" w:hAnsi="Times New Roman" w:cs="Times New Roman"/>
                <w:sz w:val="24"/>
                <w:szCs w:val="24"/>
              </w:rPr>
            </w:pPr>
          </w:p>
        </w:tc>
        <w:tc>
          <w:tcPr>
            <w:tcW w:w="1440" w:type="dxa"/>
          </w:tcPr>
          <w:p w14:paraId="447EC910" w14:textId="77777777" w:rsidR="00783F18" w:rsidRPr="00783F18" w:rsidRDefault="00783F18" w:rsidP="008001AE">
            <w:pPr>
              <w:rPr>
                <w:rFonts w:ascii="Times New Roman" w:hAnsi="Times New Roman" w:cs="Times New Roman"/>
                <w:sz w:val="24"/>
                <w:szCs w:val="24"/>
              </w:rPr>
            </w:pPr>
          </w:p>
        </w:tc>
      </w:tr>
      <w:tr w:rsidR="00783F18" w:rsidRPr="00783F18" w14:paraId="3F0CD213" w14:textId="77777777" w:rsidTr="008001AE">
        <w:tc>
          <w:tcPr>
            <w:tcW w:w="7375" w:type="dxa"/>
          </w:tcPr>
          <w:p w14:paraId="0EB7ECCA"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Clinical impact / severity</w:t>
            </w:r>
          </w:p>
        </w:tc>
        <w:tc>
          <w:tcPr>
            <w:tcW w:w="1440" w:type="dxa"/>
          </w:tcPr>
          <w:p w14:paraId="4103AC51" w14:textId="77777777" w:rsidR="00783F18" w:rsidRPr="00783F18" w:rsidRDefault="00783F18" w:rsidP="008001AE">
            <w:pPr>
              <w:rPr>
                <w:rFonts w:ascii="Times New Roman" w:hAnsi="Times New Roman" w:cs="Times New Roman"/>
                <w:sz w:val="24"/>
                <w:szCs w:val="24"/>
              </w:rPr>
            </w:pPr>
          </w:p>
        </w:tc>
        <w:tc>
          <w:tcPr>
            <w:tcW w:w="1440" w:type="dxa"/>
          </w:tcPr>
          <w:p w14:paraId="44F67C56" w14:textId="77777777" w:rsidR="00783F18" w:rsidRPr="00783F18" w:rsidRDefault="00783F18" w:rsidP="008001AE">
            <w:pPr>
              <w:rPr>
                <w:rFonts w:ascii="Times New Roman" w:hAnsi="Times New Roman" w:cs="Times New Roman"/>
                <w:sz w:val="24"/>
                <w:szCs w:val="24"/>
              </w:rPr>
            </w:pPr>
          </w:p>
        </w:tc>
      </w:tr>
      <w:tr w:rsidR="00783F18" w:rsidRPr="00783F18" w14:paraId="7F30E01E" w14:textId="77777777" w:rsidTr="008001AE">
        <w:tc>
          <w:tcPr>
            <w:tcW w:w="7375" w:type="dxa"/>
          </w:tcPr>
          <w:p w14:paraId="69E3ECC8"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Rationale for inclusion</w:t>
            </w:r>
          </w:p>
        </w:tc>
        <w:tc>
          <w:tcPr>
            <w:tcW w:w="1440" w:type="dxa"/>
          </w:tcPr>
          <w:p w14:paraId="67FF923D" w14:textId="77777777" w:rsidR="00783F18" w:rsidRPr="00783F18" w:rsidRDefault="00783F18" w:rsidP="008001AE">
            <w:pPr>
              <w:rPr>
                <w:rFonts w:ascii="Times New Roman" w:hAnsi="Times New Roman" w:cs="Times New Roman"/>
                <w:sz w:val="24"/>
                <w:szCs w:val="24"/>
              </w:rPr>
            </w:pPr>
          </w:p>
        </w:tc>
        <w:tc>
          <w:tcPr>
            <w:tcW w:w="1440" w:type="dxa"/>
          </w:tcPr>
          <w:p w14:paraId="529A2957" w14:textId="77777777" w:rsidR="00783F18" w:rsidRPr="00783F18" w:rsidRDefault="00783F18" w:rsidP="008001AE">
            <w:pPr>
              <w:rPr>
                <w:rFonts w:ascii="Times New Roman" w:hAnsi="Times New Roman" w:cs="Times New Roman"/>
                <w:sz w:val="24"/>
                <w:szCs w:val="24"/>
              </w:rPr>
            </w:pPr>
          </w:p>
        </w:tc>
      </w:tr>
      <w:tr w:rsidR="00783F18" w:rsidRPr="00783F18" w14:paraId="1A247E28" w14:textId="77777777" w:rsidTr="008001AE">
        <w:tc>
          <w:tcPr>
            <w:tcW w:w="7375" w:type="dxa"/>
          </w:tcPr>
          <w:p w14:paraId="1112E639"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Limitations of this endpoint</w:t>
            </w:r>
          </w:p>
        </w:tc>
        <w:tc>
          <w:tcPr>
            <w:tcW w:w="1440" w:type="dxa"/>
          </w:tcPr>
          <w:p w14:paraId="1D16CDFC" w14:textId="77777777" w:rsidR="00783F18" w:rsidRPr="00783F18" w:rsidRDefault="00783F18" w:rsidP="008001AE">
            <w:pPr>
              <w:rPr>
                <w:rFonts w:ascii="Times New Roman" w:hAnsi="Times New Roman" w:cs="Times New Roman"/>
                <w:sz w:val="24"/>
                <w:szCs w:val="24"/>
              </w:rPr>
            </w:pPr>
          </w:p>
        </w:tc>
        <w:tc>
          <w:tcPr>
            <w:tcW w:w="1440" w:type="dxa"/>
          </w:tcPr>
          <w:p w14:paraId="0EE8F5A5" w14:textId="77777777" w:rsidR="00783F18" w:rsidRPr="00783F18" w:rsidRDefault="00783F18" w:rsidP="008001AE">
            <w:pPr>
              <w:rPr>
                <w:rFonts w:ascii="Times New Roman" w:hAnsi="Times New Roman" w:cs="Times New Roman"/>
                <w:sz w:val="24"/>
                <w:szCs w:val="24"/>
              </w:rPr>
            </w:pPr>
          </w:p>
        </w:tc>
      </w:tr>
      <w:tr w:rsidR="00783F18" w:rsidRPr="00783F18" w14:paraId="308C1AED" w14:textId="77777777" w:rsidTr="008001AE">
        <w:trPr>
          <w:trHeight w:val="79"/>
        </w:trPr>
        <w:tc>
          <w:tcPr>
            <w:tcW w:w="10255" w:type="dxa"/>
            <w:gridSpan w:val="3"/>
          </w:tcPr>
          <w:p w14:paraId="05087563"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Benefit #3</w:t>
            </w:r>
          </w:p>
        </w:tc>
      </w:tr>
      <w:tr w:rsidR="00783F18" w:rsidRPr="00783F18" w14:paraId="6BB56121" w14:textId="77777777" w:rsidTr="008001AE">
        <w:trPr>
          <w:trHeight w:val="295"/>
        </w:trPr>
        <w:tc>
          <w:tcPr>
            <w:tcW w:w="7375" w:type="dxa"/>
          </w:tcPr>
          <w:p w14:paraId="09F1C646"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sz w:val="24"/>
                <w:szCs w:val="24"/>
              </w:rPr>
              <w:t xml:space="preserve">   …</w:t>
            </w:r>
          </w:p>
        </w:tc>
        <w:tc>
          <w:tcPr>
            <w:tcW w:w="1440" w:type="dxa"/>
          </w:tcPr>
          <w:p w14:paraId="1B502C8C" w14:textId="77777777" w:rsidR="00783F18" w:rsidRPr="00783F18" w:rsidRDefault="00783F18" w:rsidP="008001AE">
            <w:pPr>
              <w:rPr>
                <w:rFonts w:ascii="Times New Roman" w:hAnsi="Times New Roman" w:cs="Times New Roman"/>
                <w:sz w:val="24"/>
                <w:szCs w:val="24"/>
              </w:rPr>
            </w:pPr>
          </w:p>
        </w:tc>
        <w:tc>
          <w:tcPr>
            <w:tcW w:w="1440" w:type="dxa"/>
          </w:tcPr>
          <w:p w14:paraId="6DC9A46A" w14:textId="77777777" w:rsidR="00783F18" w:rsidRPr="00783F18" w:rsidRDefault="00783F18" w:rsidP="008001AE">
            <w:pPr>
              <w:rPr>
                <w:rFonts w:ascii="Times New Roman" w:hAnsi="Times New Roman" w:cs="Times New Roman"/>
                <w:sz w:val="24"/>
                <w:szCs w:val="24"/>
              </w:rPr>
            </w:pPr>
          </w:p>
        </w:tc>
      </w:tr>
      <w:tr w:rsidR="00783F18" w:rsidRPr="00783F18" w14:paraId="7088DF34" w14:textId="77777777" w:rsidTr="008001AE">
        <w:trPr>
          <w:trHeight w:val="241"/>
        </w:trPr>
        <w:tc>
          <w:tcPr>
            <w:tcW w:w="10255" w:type="dxa"/>
            <w:gridSpan w:val="3"/>
            <w:tcBorders>
              <w:left w:val="nil"/>
              <w:right w:val="nil"/>
            </w:tcBorders>
          </w:tcPr>
          <w:p w14:paraId="285C1B1D" w14:textId="77777777" w:rsidR="00783F18" w:rsidRPr="00783F18" w:rsidRDefault="00783F18" w:rsidP="008001AE">
            <w:pPr>
              <w:rPr>
                <w:rFonts w:ascii="Times New Roman" w:hAnsi="Times New Roman" w:cs="Times New Roman"/>
                <w:b/>
                <w:sz w:val="24"/>
                <w:szCs w:val="24"/>
              </w:rPr>
            </w:pPr>
          </w:p>
        </w:tc>
      </w:tr>
      <w:tr w:rsidR="00783F18" w:rsidRPr="00783F18" w14:paraId="509DE341" w14:textId="77777777" w:rsidTr="008001AE">
        <w:trPr>
          <w:trHeight w:val="241"/>
        </w:trPr>
        <w:tc>
          <w:tcPr>
            <w:tcW w:w="10255" w:type="dxa"/>
            <w:gridSpan w:val="3"/>
          </w:tcPr>
          <w:p w14:paraId="4DE7CC85"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Risk #1</w:t>
            </w:r>
          </w:p>
        </w:tc>
      </w:tr>
      <w:tr w:rsidR="00783F18" w:rsidRPr="00783F18" w14:paraId="497A6B29" w14:textId="77777777" w:rsidTr="008001AE">
        <w:tc>
          <w:tcPr>
            <w:tcW w:w="7375" w:type="dxa"/>
          </w:tcPr>
          <w:p w14:paraId="542425C1" w14:textId="77777777" w:rsidR="00783F18" w:rsidRPr="00783F18" w:rsidRDefault="00783F18" w:rsidP="008001AE">
            <w:pPr>
              <w:ind w:left="257"/>
              <w:rPr>
                <w:rFonts w:ascii="Times New Roman" w:hAnsi="Times New Roman" w:cs="Times New Roman"/>
                <w:sz w:val="24"/>
                <w:szCs w:val="24"/>
              </w:rPr>
            </w:pPr>
            <w:r w:rsidRPr="00783F18">
              <w:rPr>
                <w:rFonts w:ascii="Times New Roman" w:hAnsi="Times New Roman" w:cs="Times New Roman"/>
                <w:sz w:val="24"/>
                <w:szCs w:val="24"/>
              </w:rPr>
              <w:t>Name</w:t>
            </w:r>
          </w:p>
          <w:p w14:paraId="09C94199" w14:textId="2F9CCA12" w:rsidR="00783F18" w:rsidRPr="00783F18" w:rsidRDefault="00783F18" w:rsidP="008001AE">
            <w:pPr>
              <w:ind w:left="257"/>
              <w:rPr>
                <w:rFonts w:ascii="Times New Roman" w:hAnsi="Times New Roman" w:cs="Times New Roman"/>
                <w:sz w:val="24"/>
                <w:szCs w:val="24"/>
              </w:rPr>
            </w:pPr>
            <w:r w:rsidRPr="00783F18">
              <w:rPr>
                <w:rFonts w:ascii="Times New Roman" w:hAnsi="Times New Roman" w:cs="Times New Roman"/>
                <w:sz w:val="24"/>
                <w:szCs w:val="24"/>
              </w:rPr>
              <w:lastRenderedPageBreak/>
              <w:t>(</w:t>
            </w:r>
            <w:r w:rsidR="002E79EE" w:rsidRPr="00783F18">
              <w:rPr>
                <w:rFonts w:ascii="Times New Roman" w:hAnsi="Times New Roman" w:cs="Times New Roman"/>
                <w:sz w:val="24"/>
                <w:szCs w:val="24"/>
              </w:rPr>
              <w:t>e.g.,</w:t>
            </w:r>
            <w:r w:rsidRPr="00783F18">
              <w:rPr>
                <w:rFonts w:ascii="Times New Roman" w:hAnsi="Times New Roman" w:cs="Times New Roman"/>
                <w:sz w:val="24"/>
                <w:szCs w:val="24"/>
              </w:rPr>
              <w:t xml:space="preserve"> fatal or life-threatening adverse reactions, severe or serious adverse events following immunization (AEFIs) such as intussusception, myocarditis, Guillain-Barre Syndrome (GBS), anaphylaxis, Bell’s palsy, neuritis, convulsion, thrombocytopenia, vasculitis, anaphylaxis)</w:t>
            </w:r>
          </w:p>
        </w:tc>
        <w:tc>
          <w:tcPr>
            <w:tcW w:w="1440" w:type="dxa"/>
          </w:tcPr>
          <w:p w14:paraId="08E62DF4" w14:textId="77777777" w:rsidR="00783F18" w:rsidRPr="00783F18" w:rsidRDefault="00783F18" w:rsidP="008001AE">
            <w:pPr>
              <w:rPr>
                <w:rFonts w:ascii="Times New Roman" w:hAnsi="Times New Roman" w:cs="Times New Roman"/>
                <w:sz w:val="24"/>
                <w:szCs w:val="24"/>
              </w:rPr>
            </w:pPr>
          </w:p>
        </w:tc>
        <w:tc>
          <w:tcPr>
            <w:tcW w:w="1440" w:type="dxa"/>
          </w:tcPr>
          <w:p w14:paraId="017D92EE" w14:textId="77777777" w:rsidR="00783F18" w:rsidRPr="00783F18" w:rsidRDefault="00783F18" w:rsidP="008001AE">
            <w:pPr>
              <w:rPr>
                <w:rFonts w:ascii="Times New Roman" w:hAnsi="Times New Roman" w:cs="Times New Roman"/>
                <w:sz w:val="24"/>
                <w:szCs w:val="24"/>
              </w:rPr>
            </w:pPr>
          </w:p>
        </w:tc>
      </w:tr>
      <w:tr w:rsidR="00783F18" w:rsidRPr="00783F18" w14:paraId="58310FA5" w14:textId="77777777" w:rsidTr="008001AE">
        <w:tc>
          <w:tcPr>
            <w:tcW w:w="7375" w:type="dxa"/>
          </w:tcPr>
          <w:p w14:paraId="786DCE4C" w14:textId="3E0102A9" w:rsidR="00783F18" w:rsidRPr="00783F18" w:rsidRDefault="00783F18" w:rsidP="006768EB">
            <w:pPr>
              <w:ind w:left="257"/>
              <w:rPr>
                <w:rFonts w:ascii="Times New Roman" w:hAnsi="Times New Roman" w:cs="Times New Roman"/>
                <w:sz w:val="24"/>
                <w:szCs w:val="24"/>
              </w:rPr>
            </w:pPr>
            <w:r w:rsidRPr="00783F18">
              <w:rPr>
                <w:rFonts w:ascii="Times New Roman" w:hAnsi="Times New Roman" w:cs="Times New Roman"/>
                <w:sz w:val="24"/>
                <w:szCs w:val="24"/>
              </w:rPr>
              <w:t>Definition and risk window, if relevant (</w:t>
            </w:r>
            <w:r w:rsidR="002E79EE" w:rsidRPr="00783F18">
              <w:rPr>
                <w:rFonts w:ascii="Times New Roman" w:hAnsi="Times New Roman" w:cs="Times New Roman"/>
                <w:sz w:val="24"/>
                <w:szCs w:val="24"/>
              </w:rPr>
              <w:t>e.g.,</w:t>
            </w:r>
            <w:r w:rsidRPr="00783F18">
              <w:rPr>
                <w:rFonts w:ascii="Times New Roman" w:hAnsi="Times New Roman" w:cs="Times New Roman"/>
                <w:sz w:val="24"/>
                <w:szCs w:val="24"/>
              </w:rPr>
              <w:t xml:space="preserve"> Number of TTS cases as per the Brighton probable case definition within 28 days after vaccination (primary or boosters) per 1,000,000 vaccinated individuals in the ITT analysis set</w:t>
            </w:r>
            <w:r w:rsidR="006768EB">
              <w:rPr>
                <w:rFonts w:ascii="Times New Roman" w:hAnsi="Times New Roman" w:cs="Times New Roman"/>
                <w:sz w:val="24"/>
                <w:szCs w:val="24"/>
              </w:rPr>
              <w:t xml:space="preserve">, or </w:t>
            </w:r>
            <w:r w:rsidRPr="00783F18">
              <w:rPr>
                <w:rFonts w:ascii="Times New Roman" w:hAnsi="Times New Roman" w:cs="Times New Roman"/>
                <w:sz w:val="24"/>
                <w:szCs w:val="24"/>
              </w:rPr>
              <w:t>Number of myocarditis cases within days 0-7 post-COVID-19 vaccination pe</w:t>
            </w:r>
            <w:r w:rsidR="00DD191F">
              <w:rPr>
                <w:rFonts w:ascii="Times New Roman" w:hAnsi="Times New Roman" w:cs="Times New Roman"/>
                <w:sz w:val="24"/>
                <w:szCs w:val="24"/>
              </w:rPr>
              <w:t>r</w:t>
            </w:r>
            <w:r w:rsidRPr="00783F18">
              <w:rPr>
                <w:rFonts w:ascii="Times New Roman" w:hAnsi="Times New Roman" w:cs="Times New Roman"/>
                <w:sz w:val="24"/>
                <w:szCs w:val="24"/>
              </w:rPr>
              <w:t xml:space="preserve"> 1,000,000 vaccinated individuals)</w:t>
            </w:r>
          </w:p>
        </w:tc>
        <w:tc>
          <w:tcPr>
            <w:tcW w:w="1440" w:type="dxa"/>
          </w:tcPr>
          <w:p w14:paraId="27902D13" w14:textId="77777777" w:rsidR="00783F18" w:rsidRPr="00783F18" w:rsidRDefault="00783F18" w:rsidP="008001AE">
            <w:pPr>
              <w:rPr>
                <w:rFonts w:ascii="Times New Roman" w:hAnsi="Times New Roman" w:cs="Times New Roman"/>
                <w:sz w:val="24"/>
                <w:szCs w:val="24"/>
              </w:rPr>
            </w:pPr>
          </w:p>
        </w:tc>
        <w:tc>
          <w:tcPr>
            <w:tcW w:w="1440" w:type="dxa"/>
          </w:tcPr>
          <w:p w14:paraId="611E084B" w14:textId="77777777" w:rsidR="00783F18" w:rsidRPr="00783F18" w:rsidRDefault="00783F18" w:rsidP="008001AE">
            <w:pPr>
              <w:rPr>
                <w:rFonts w:ascii="Times New Roman" w:hAnsi="Times New Roman" w:cs="Times New Roman"/>
                <w:sz w:val="24"/>
                <w:szCs w:val="24"/>
              </w:rPr>
            </w:pPr>
          </w:p>
        </w:tc>
      </w:tr>
      <w:tr w:rsidR="00783F18" w:rsidRPr="00783F18" w14:paraId="0D9615F4" w14:textId="77777777" w:rsidTr="008001AE">
        <w:tc>
          <w:tcPr>
            <w:tcW w:w="7375" w:type="dxa"/>
          </w:tcPr>
          <w:p w14:paraId="6D320415"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Key or not key for B-R and rationale</w:t>
            </w:r>
          </w:p>
        </w:tc>
        <w:tc>
          <w:tcPr>
            <w:tcW w:w="1440" w:type="dxa"/>
          </w:tcPr>
          <w:p w14:paraId="32D37CFC" w14:textId="77777777" w:rsidR="00783F18" w:rsidRPr="00783F18" w:rsidRDefault="00783F18" w:rsidP="008001AE">
            <w:pPr>
              <w:rPr>
                <w:rFonts w:ascii="Times New Roman" w:hAnsi="Times New Roman" w:cs="Times New Roman"/>
                <w:sz w:val="24"/>
                <w:szCs w:val="24"/>
              </w:rPr>
            </w:pPr>
          </w:p>
        </w:tc>
        <w:tc>
          <w:tcPr>
            <w:tcW w:w="1440" w:type="dxa"/>
          </w:tcPr>
          <w:p w14:paraId="766EA3FD" w14:textId="77777777" w:rsidR="00783F18" w:rsidRPr="00783F18" w:rsidRDefault="00783F18" w:rsidP="008001AE">
            <w:pPr>
              <w:rPr>
                <w:rFonts w:ascii="Times New Roman" w:hAnsi="Times New Roman" w:cs="Times New Roman"/>
                <w:sz w:val="24"/>
                <w:szCs w:val="24"/>
              </w:rPr>
            </w:pPr>
          </w:p>
        </w:tc>
      </w:tr>
      <w:tr w:rsidR="00783F18" w:rsidRPr="00783F18" w14:paraId="345348E0" w14:textId="77777777" w:rsidTr="008001AE">
        <w:tc>
          <w:tcPr>
            <w:tcW w:w="7375" w:type="dxa"/>
          </w:tcPr>
          <w:p w14:paraId="51D4DAA0" w14:textId="77777777" w:rsidR="00783F18" w:rsidRPr="00783F18" w:rsidRDefault="00783F18" w:rsidP="008001AE">
            <w:pPr>
              <w:rPr>
                <w:rFonts w:ascii="Times New Roman" w:hAnsi="Times New Roman" w:cs="Times New Roman"/>
                <w:color w:val="FF0000"/>
                <w:sz w:val="24"/>
                <w:szCs w:val="24"/>
              </w:rPr>
            </w:pPr>
            <w:r w:rsidRPr="00783F18">
              <w:rPr>
                <w:rFonts w:ascii="Times New Roman" w:hAnsi="Times New Roman" w:cs="Times New Roman"/>
                <w:sz w:val="24"/>
                <w:szCs w:val="24"/>
              </w:rPr>
              <w:t xml:space="preserve">    Identified or potential and rationale</w:t>
            </w:r>
          </w:p>
        </w:tc>
        <w:tc>
          <w:tcPr>
            <w:tcW w:w="1440" w:type="dxa"/>
          </w:tcPr>
          <w:p w14:paraId="6DD413AC" w14:textId="77777777" w:rsidR="00783F18" w:rsidRPr="00783F18" w:rsidRDefault="00783F18" w:rsidP="008001AE">
            <w:pPr>
              <w:rPr>
                <w:rFonts w:ascii="Times New Roman" w:hAnsi="Times New Roman" w:cs="Times New Roman"/>
                <w:sz w:val="24"/>
                <w:szCs w:val="24"/>
              </w:rPr>
            </w:pPr>
          </w:p>
        </w:tc>
        <w:tc>
          <w:tcPr>
            <w:tcW w:w="1440" w:type="dxa"/>
          </w:tcPr>
          <w:p w14:paraId="7C03AEBB" w14:textId="77777777" w:rsidR="00783F18" w:rsidRPr="00783F18" w:rsidRDefault="00783F18" w:rsidP="008001AE">
            <w:pPr>
              <w:rPr>
                <w:rFonts w:ascii="Times New Roman" w:hAnsi="Times New Roman" w:cs="Times New Roman"/>
                <w:sz w:val="24"/>
                <w:szCs w:val="24"/>
              </w:rPr>
            </w:pPr>
          </w:p>
        </w:tc>
      </w:tr>
      <w:tr w:rsidR="00783F18" w:rsidRPr="00783F18" w14:paraId="1D75D135" w14:textId="77777777" w:rsidTr="008001AE">
        <w:tc>
          <w:tcPr>
            <w:tcW w:w="7375" w:type="dxa"/>
          </w:tcPr>
          <w:p w14:paraId="7A1F8679" w14:textId="5E924197"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Clinical impact / severity (</w:t>
            </w:r>
            <w:r w:rsidR="002E79EE" w:rsidRPr="00783F18">
              <w:rPr>
                <w:rFonts w:ascii="Times New Roman" w:hAnsi="Times New Roman" w:cs="Times New Roman"/>
                <w:sz w:val="24"/>
                <w:szCs w:val="24"/>
              </w:rPr>
              <w:t>e.g.,</w:t>
            </w:r>
            <w:r w:rsidRPr="00783F18">
              <w:rPr>
                <w:rFonts w:ascii="Times New Roman" w:hAnsi="Times New Roman" w:cs="Times New Roman"/>
                <w:sz w:val="24"/>
                <w:szCs w:val="24"/>
              </w:rPr>
              <w:t xml:space="preserve"> most events are mild to moderate in severity and can be reversed by over-the-counter treatments)</w:t>
            </w:r>
          </w:p>
        </w:tc>
        <w:tc>
          <w:tcPr>
            <w:tcW w:w="1440" w:type="dxa"/>
          </w:tcPr>
          <w:p w14:paraId="2676CCA4" w14:textId="77777777" w:rsidR="00783F18" w:rsidRPr="00783F18" w:rsidRDefault="00783F18" w:rsidP="008001AE">
            <w:pPr>
              <w:rPr>
                <w:rFonts w:ascii="Times New Roman" w:hAnsi="Times New Roman" w:cs="Times New Roman"/>
                <w:sz w:val="24"/>
                <w:szCs w:val="24"/>
              </w:rPr>
            </w:pPr>
          </w:p>
        </w:tc>
        <w:tc>
          <w:tcPr>
            <w:tcW w:w="1440" w:type="dxa"/>
          </w:tcPr>
          <w:p w14:paraId="36956CA5" w14:textId="77777777" w:rsidR="00783F18" w:rsidRPr="00783F18" w:rsidRDefault="00783F18" w:rsidP="008001AE">
            <w:pPr>
              <w:rPr>
                <w:rFonts w:ascii="Times New Roman" w:hAnsi="Times New Roman" w:cs="Times New Roman"/>
                <w:sz w:val="24"/>
                <w:szCs w:val="24"/>
              </w:rPr>
            </w:pPr>
          </w:p>
        </w:tc>
      </w:tr>
      <w:tr w:rsidR="00783F18" w:rsidRPr="00783F18" w14:paraId="2F0C64FE" w14:textId="77777777" w:rsidTr="008001AE">
        <w:tc>
          <w:tcPr>
            <w:tcW w:w="7375" w:type="dxa"/>
          </w:tcPr>
          <w:p w14:paraId="4BE79ADF" w14:textId="77777777"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Rationale for inclusion</w:t>
            </w:r>
          </w:p>
        </w:tc>
        <w:tc>
          <w:tcPr>
            <w:tcW w:w="1440" w:type="dxa"/>
          </w:tcPr>
          <w:p w14:paraId="0F2D34D5" w14:textId="77777777" w:rsidR="00783F18" w:rsidRPr="00783F18" w:rsidRDefault="00783F18" w:rsidP="008001AE">
            <w:pPr>
              <w:rPr>
                <w:rFonts w:ascii="Times New Roman" w:hAnsi="Times New Roman" w:cs="Times New Roman"/>
                <w:sz w:val="24"/>
                <w:szCs w:val="24"/>
              </w:rPr>
            </w:pPr>
          </w:p>
        </w:tc>
        <w:tc>
          <w:tcPr>
            <w:tcW w:w="1440" w:type="dxa"/>
          </w:tcPr>
          <w:p w14:paraId="54507E5C" w14:textId="77777777" w:rsidR="00783F18" w:rsidRPr="00783F18" w:rsidRDefault="00783F18" w:rsidP="008001AE">
            <w:pPr>
              <w:rPr>
                <w:rFonts w:ascii="Times New Roman" w:hAnsi="Times New Roman" w:cs="Times New Roman"/>
                <w:sz w:val="24"/>
                <w:szCs w:val="24"/>
              </w:rPr>
            </w:pPr>
          </w:p>
        </w:tc>
      </w:tr>
      <w:tr w:rsidR="00783F18" w:rsidRPr="00783F18" w14:paraId="1FE03F5E" w14:textId="77777777" w:rsidTr="008001AE">
        <w:tc>
          <w:tcPr>
            <w:tcW w:w="7375" w:type="dxa"/>
          </w:tcPr>
          <w:p w14:paraId="098B2863" w14:textId="5FB4ED79" w:rsidR="00783F18" w:rsidRPr="00783F18" w:rsidRDefault="00783F18" w:rsidP="008001AE">
            <w:pPr>
              <w:ind w:left="250"/>
              <w:rPr>
                <w:rFonts w:ascii="Times New Roman" w:hAnsi="Times New Roman" w:cs="Times New Roman"/>
                <w:sz w:val="24"/>
                <w:szCs w:val="24"/>
              </w:rPr>
            </w:pPr>
            <w:r w:rsidRPr="00783F18">
              <w:rPr>
                <w:rFonts w:ascii="Times New Roman" w:hAnsi="Times New Roman" w:cs="Times New Roman"/>
                <w:sz w:val="24"/>
                <w:szCs w:val="24"/>
              </w:rPr>
              <w:t>Limitations (cannot be avoided) and uncertainties (potentially mitigatable) of this endpoint (</w:t>
            </w:r>
            <w:r w:rsidR="002E79EE" w:rsidRPr="00783F18">
              <w:rPr>
                <w:rFonts w:ascii="Times New Roman" w:hAnsi="Times New Roman" w:cs="Times New Roman"/>
                <w:sz w:val="24"/>
                <w:szCs w:val="24"/>
              </w:rPr>
              <w:t>e.g.,</w:t>
            </w:r>
            <w:r w:rsidRPr="00783F18">
              <w:rPr>
                <w:rFonts w:ascii="Times New Roman" w:hAnsi="Times New Roman" w:cs="Times New Roman"/>
                <w:sz w:val="24"/>
                <w:szCs w:val="24"/>
              </w:rPr>
              <w:t xml:space="preserve"> not all events may be reported)</w:t>
            </w:r>
          </w:p>
        </w:tc>
        <w:tc>
          <w:tcPr>
            <w:tcW w:w="1440" w:type="dxa"/>
          </w:tcPr>
          <w:p w14:paraId="3A9915B6" w14:textId="77777777" w:rsidR="00783F18" w:rsidRPr="00783F18" w:rsidRDefault="00783F18" w:rsidP="008001AE">
            <w:pPr>
              <w:rPr>
                <w:rFonts w:ascii="Times New Roman" w:hAnsi="Times New Roman" w:cs="Times New Roman"/>
                <w:sz w:val="24"/>
                <w:szCs w:val="24"/>
              </w:rPr>
            </w:pPr>
          </w:p>
        </w:tc>
        <w:tc>
          <w:tcPr>
            <w:tcW w:w="1440" w:type="dxa"/>
          </w:tcPr>
          <w:p w14:paraId="1DE2C65A" w14:textId="77777777" w:rsidR="00783F18" w:rsidRPr="00783F18" w:rsidRDefault="00783F18" w:rsidP="008001AE">
            <w:pPr>
              <w:rPr>
                <w:rFonts w:ascii="Times New Roman" w:hAnsi="Times New Roman" w:cs="Times New Roman"/>
                <w:sz w:val="24"/>
                <w:szCs w:val="24"/>
              </w:rPr>
            </w:pPr>
          </w:p>
        </w:tc>
      </w:tr>
      <w:tr w:rsidR="00783F18" w:rsidRPr="00783F18" w14:paraId="05BFF6FD" w14:textId="77777777" w:rsidTr="008001AE">
        <w:trPr>
          <w:trHeight w:val="259"/>
        </w:trPr>
        <w:tc>
          <w:tcPr>
            <w:tcW w:w="10255" w:type="dxa"/>
            <w:gridSpan w:val="3"/>
          </w:tcPr>
          <w:p w14:paraId="78EBB65D"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Risk #2</w:t>
            </w:r>
          </w:p>
        </w:tc>
      </w:tr>
      <w:tr w:rsidR="00783F18" w:rsidRPr="00783F18" w14:paraId="1AFE3EF8" w14:textId="77777777" w:rsidTr="008001AE">
        <w:trPr>
          <w:trHeight w:val="250"/>
        </w:trPr>
        <w:tc>
          <w:tcPr>
            <w:tcW w:w="7375" w:type="dxa"/>
          </w:tcPr>
          <w:p w14:paraId="3072FC49"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Name</w:t>
            </w:r>
          </w:p>
        </w:tc>
        <w:tc>
          <w:tcPr>
            <w:tcW w:w="1440" w:type="dxa"/>
          </w:tcPr>
          <w:p w14:paraId="46455516" w14:textId="77777777" w:rsidR="00783F18" w:rsidRPr="00783F18" w:rsidRDefault="00783F18" w:rsidP="008001AE">
            <w:pPr>
              <w:rPr>
                <w:rFonts w:ascii="Times New Roman" w:hAnsi="Times New Roman" w:cs="Times New Roman"/>
                <w:sz w:val="24"/>
                <w:szCs w:val="24"/>
              </w:rPr>
            </w:pPr>
          </w:p>
        </w:tc>
        <w:tc>
          <w:tcPr>
            <w:tcW w:w="1440" w:type="dxa"/>
          </w:tcPr>
          <w:p w14:paraId="6CDDFB4A" w14:textId="77777777" w:rsidR="00783F18" w:rsidRPr="00783F18" w:rsidRDefault="00783F18" w:rsidP="008001AE">
            <w:pPr>
              <w:rPr>
                <w:rFonts w:ascii="Times New Roman" w:hAnsi="Times New Roman" w:cs="Times New Roman"/>
                <w:sz w:val="24"/>
                <w:szCs w:val="24"/>
              </w:rPr>
            </w:pPr>
          </w:p>
        </w:tc>
      </w:tr>
      <w:tr w:rsidR="00783F18" w:rsidRPr="00783F18" w14:paraId="602E749A" w14:textId="77777777" w:rsidTr="008001AE">
        <w:tc>
          <w:tcPr>
            <w:tcW w:w="7375" w:type="dxa"/>
          </w:tcPr>
          <w:p w14:paraId="26C277F4"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Definition and risk window, if relevant </w:t>
            </w:r>
          </w:p>
        </w:tc>
        <w:tc>
          <w:tcPr>
            <w:tcW w:w="1440" w:type="dxa"/>
          </w:tcPr>
          <w:p w14:paraId="0D80868A" w14:textId="77777777" w:rsidR="00783F18" w:rsidRPr="00783F18" w:rsidRDefault="00783F18" w:rsidP="008001AE">
            <w:pPr>
              <w:rPr>
                <w:rFonts w:ascii="Times New Roman" w:hAnsi="Times New Roman" w:cs="Times New Roman"/>
                <w:sz w:val="24"/>
                <w:szCs w:val="24"/>
              </w:rPr>
            </w:pPr>
          </w:p>
        </w:tc>
        <w:tc>
          <w:tcPr>
            <w:tcW w:w="1440" w:type="dxa"/>
          </w:tcPr>
          <w:p w14:paraId="16B606C5" w14:textId="77777777" w:rsidR="00783F18" w:rsidRPr="00783F18" w:rsidRDefault="00783F18" w:rsidP="008001AE">
            <w:pPr>
              <w:rPr>
                <w:rFonts w:ascii="Times New Roman" w:hAnsi="Times New Roman" w:cs="Times New Roman"/>
                <w:sz w:val="24"/>
                <w:szCs w:val="24"/>
              </w:rPr>
            </w:pPr>
          </w:p>
        </w:tc>
      </w:tr>
      <w:tr w:rsidR="00783F18" w:rsidRPr="00783F18" w14:paraId="7049E135" w14:textId="77777777" w:rsidTr="008001AE">
        <w:tc>
          <w:tcPr>
            <w:tcW w:w="7375" w:type="dxa"/>
          </w:tcPr>
          <w:p w14:paraId="713C2B42"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Key or not key for B-R and rationale</w:t>
            </w:r>
          </w:p>
        </w:tc>
        <w:tc>
          <w:tcPr>
            <w:tcW w:w="1440" w:type="dxa"/>
          </w:tcPr>
          <w:p w14:paraId="2C5471B9" w14:textId="77777777" w:rsidR="00783F18" w:rsidRPr="00783F18" w:rsidRDefault="00783F18" w:rsidP="008001AE">
            <w:pPr>
              <w:rPr>
                <w:rFonts w:ascii="Times New Roman" w:hAnsi="Times New Roman" w:cs="Times New Roman"/>
                <w:sz w:val="24"/>
                <w:szCs w:val="24"/>
              </w:rPr>
            </w:pPr>
          </w:p>
        </w:tc>
        <w:tc>
          <w:tcPr>
            <w:tcW w:w="1440" w:type="dxa"/>
          </w:tcPr>
          <w:p w14:paraId="3E9B8BAA" w14:textId="77777777" w:rsidR="00783F18" w:rsidRPr="00783F18" w:rsidRDefault="00783F18" w:rsidP="008001AE">
            <w:pPr>
              <w:rPr>
                <w:rFonts w:ascii="Times New Roman" w:hAnsi="Times New Roman" w:cs="Times New Roman"/>
                <w:sz w:val="24"/>
                <w:szCs w:val="24"/>
              </w:rPr>
            </w:pPr>
          </w:p>
        </w:tc>
      </w:tr>
      <w:tr w:rsidR="00783F18" w:rsidRPr="00783F18" w14:paraId="72BF4373" w14:textId="77777777" w:rsidTr="008001AE">
        <w:tc>
          <w:tcPr>
            <w:tcW w:w="7375" w:type="dxa"/>
          </w:tcPr>
          <w:p w14:paraId="5D519009"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Identified or potential and rationale</w:t>
            </w:r>
          </w:p>
        </w:tc>
        <w:tc>
          <w:tcPr>
            <w:tcW w:w="1440" w:type="dxa"/>
          </w:tcPr>
          <w:p w14:paraId="1D0F84C2" w14:textId="77777777" w:rsidR="00783F18" w:rsidRPr="00783F18" w:rsidRDefault="00783F18" w:rsidP="008001AE">
            <w:pPr>
              <w:rPr>
                <w:rFonts w:ascii="Times New Roman" w:hAnsi="Times New Roman" w:cs="Times New Roman"/>
                <w:sz w:val="24"/>
                <w:szCs w:val="24"/>
              </w:rPr>
            </w:pPr>
          </w:p>
        </w:tc>
        <w:tc>
          <w:tcPr>
            <w:tcW w:w="1440" w:type="dxa"/>
          </w:tcPr>
          <w:p w14:paraId="7764D7FF" w14:textId="77777777" w:rsidR="00783F18" w:rsidRPr="00783F18" w:rsidRDefault="00783F18" w:rsidP="008001AE">
            <w:pPr>
              <w:rPr>
                <w:rFonts w:ascii="Times New Roman" w:hAnsi="Times New Roman" w:cs="Times New Roman"/>
                <w:sz w:val="24"/>
                <w:szCs w:val="24"/>
              </w:rPr>
            </w:pPr>
          </w:p>
        </w:tc>
      </w:tr>
      <w:tr w:rsidR="00783F18" w:rsidRPr="00783F18" w14:paraId="0FC4D37A" w14:textId="77777777" w:rsidTr="008001AE">
        <w:tc>
          <w:tcPr>
            <w:tcW w:w="7375" w:type="dxa"/>
          </w:tcPr>
          <w:p w14:paraId="2E8B8FAF"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Clinical impact / severity </w:t>
            </w:r>
          </w:p>
        </w:tc>
        <w:tc>
          <w:tcPr>
            <w:tcW w:w="1440" w:type="dxa"/>
          </w:tcPr>
          <w:p w14:paraId="3B13FE9F" w14:textId="77777777" w:rsidR="00783F18" w:rsidRPr="00783F18" w:rsidRDefault="00783F18" w:rsidP="008001AE">
            <w:pPr>
              <w:rPr>
                <w:rFonts w:ascii="Times New Roman" w:hAnsi="Times New Roman" w:cs="Times New Roman"/>
                <w:sz w:val="24"/>
                <w:szCs w:val="24"/>
              </w:rPr>
            </w:pPr>
          </w:p>
        </w:tc>
        <w:tc>
          <w:tcPr>
            <w:tcW w:w="1440" w:type="dxa"/>
          </w:tcPr>
          <w:p w14:paraId="091BEFA2" w14:textId="77777777" w:rsidR="00783F18" w:rsidRPr="00783F18" w:rsidRDefault="00783F18" w:rsidP="008001AE">
            <w:pPr>
              <w:rPr>
                <w:rFonts w:ascii="Times New Roman" w:hAnsi="Times New Roman" w:cs="Times New Roman"/>
                <w:sz w:val="24"/>
                <w:szCs w:val="24"/>
              </w:rPr>
            </w:pPr>
          </w:p>
        </w:tc>
      </w:tr>
      <w:tr w:rsidR="00783F18" w:rsidRPr="00783F18" w14:paraId="02A1B88A" w14:textId="77777777" w:rsidTr="008001AE">
        <w:tc>
          <w:tcPr>
            <w:tcW w:w="7375" w:type="dxa"/>
          </w:tcPr>
          <w:p w14:paraId="0CF19696"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Rationale for inclusion</w:t>
            </w:r>
          </w:p>
        </w:tc>
        <w:tc>
          <w:tcPr>
            <w:tcW w:w="1440" w:type="dxa"/>
          </w:tcPr>
          <w:p w14:paraId="2B2AB2DD" w14:textId="77777777" w:rsidR="00783F18" w:rsidRPr="00783F18" w:rsidRDefault="00783F18" w:rsidP="008001AE">
            <w:pPr>
              <w:rPr>
                <w:rFonts w:ascii="Times New Roman" w:hAnsi="Times New Roman" w:cs="Times New Roman"/>
                <w:sz w:val="24"/>
                <w:szCs w:val="24"/>
              </w:rPr>
            </w:pPr>
          </w:p>
        </w:tc>
        <w:tc>
          <w:tcPr>
            <w:tcW w:w="1440" w:type="dxa"/>
          </w:tcPr>
          <w:p w14:paraId="201C8EDF" w14:textId="77777777" w:rsidR="00783F18" w:rsidRPr="00783F18" w:rsidRDefault="00783F18" w:rsidP="008001AE">
            <w:pPr>
              <w:rPr>
                <w:rFonts w:ascii="Times New Roman" w:hAnsi="Times New Roman" w:cs="Times New Roman"/>
                <w:sz w:val="24"/>
                <w:szCs w:val="24"/>
              </w:rPr>
            </w:pPr>
          </w:p>
        </w:tc>
      </w:tr>
      <w:tr w:rsidR="00783F18" w:rsidRPr="00783F18" w14:paraId="4576D9F9" w14:textId="77777777" w:rsidTr="008001AE">
        <w:tc>
          <w:tcPr>
            <w:tcW w:w="7375" w:type="dxa"/>
          </w:tcPr>
          <w:p w14:paraId="11312A1A"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Limitations and uncertainties of this endpoint </w:t>
            </w:r>
          </w:p>
        </w:tc>
        <w:tc>
          <w:tcPr>
            <w:tcW w:w="1440" w:type="dxa"/>
          </w:tcPr>
          <w:p w14:paraId="2628E21E" w14:textId="77777777" w:rsidR="00783F18" w:rsidRPr="00783F18" w:rsidRDefault="00783F18" w:rsidP="008001AE">
            <w:pPr>
              <w:rPr>
                <w:rFonts w:ascii="Times New Roman" w:hAnsi="Times New Roman" w:cs="Times New Roman"/>
                <w:sz w:val="24"/>
                <w:szCs w:val="24"/>
              </w:rPr>
            </w:pPr>
          </w:p>
        </w:tc>
        <w:tc>
          <w:tcPr>
            <w:tcW w:w="1440" w:type="dxa"/>
          </w:tcPr>
          <w:p w14:paraId="09776BFF" w14:textId="77777777" w:rsidR="00783F18" w:rsidRPr="00783F18" w:rsidRDefault="00783F18" w:rsidP="008001AE">
            <w:pPr>
              <w:rPr>
                <w:rFonts w:ascii="Times New Roman" w:hAnsi="Times New Roman" w:cs="Times New Roman"/>
                <w:sz w:val="24"/>
                <w:szCs w:val="24"/>
              </w:rPr>
            </w:pPr>
          </w:p>
        </w:tc>
      </w:tr>
      <w:tr w:rsidR="00783F18" w:rsidRPr="00783F18" w14:paraId="1C18EF0C" w14:textId="77777777" w:rsidTr="008001AE">
        <w:trPr>
          <w:trHeight w:val="331"/>
        </w:trPr>
        <w:tc>
          <w:tcPr>
            <w:tcW w:w="10255" w:type="dxa"/>
            <w:gridSpan w:val="3"/>
          </w:tcPr>
          <w:p w14:paraId="7B94F21B"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Risk #3</w:t>
            </w:r>
          </w:p>
        </w:tc>
      </w:tr>
      <w:tr w:rsidR="00783F18" w:rsidRPr="00783F18" w14:paraId="43BABF3C" w14:textId="77777777" w:rsidTr="008001AE">
        <w:tc>
          <w:tcPr>
            <w:tcW w:w="7375" w:type="dxa"/>
          </w:tcPr>
          <w:p w14:paraId="03974EF1"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 xml:space="preserve">   …</w:t>
            </w:r>
          </w:p>
        </w:tc>
        <w:tc>
          <w:tcPr>
            <w:tcW w:w="1440" w:type="dxa"/>
          </w:tcPr>
          <w:p w14:paraId="5EBC3423" w14:textId="77777777" w:rsidR="00783F18" w:rsidRPr="00783F18" w:rsidRDefault="00783F18" w:rsidP="008001AE">
            <w:pPr>
              <w:rPr>
                <w:rFonts w:ascii="Times New Roman" w:hAnsi="Times New Roman" w:cs="Times New Roman"/>
                <w:sz w:val="24"/>
                <w:szCs w:val="24"/>
              </w:rPr>
            </w:pPr>
          </w:p>
        </w:tc>
        <w:tc>
          <w:tcPr>
            <w:tcW w:w="1440" w:type="dxa"/>
          </w:tcPr>
          <w:p w14:paraId="75291294" w14:textId="77777777" w:rsidR="00783F18" w:rsidRPr="00783F18" w:rsidRDefault="00783F18" w:rsidP="008001AE">
            <w:pPr>
              <w:rPr>
                <w:rFonts w:ascii="Times New Roman" w:hAnsi="Times New Roman" w:cs="Times New Roman"/>
                <w:sz w:val="24"/>
                <w:szCs w:val="24"/>
              </w:rPr>
            </w:pPr>
          </w:p>
        </w:tc>
      </w:tr>
    </w:tbl>
    <w:p w14:paraId="6E474A38" w14:textId="77777777" w:rsidR="00783F18" w:rsidRPr="00783F18" w:rsidRDefault="00783F18" w:rsidP="00783F18">
      <w:pPr>
        <w:rPr>
          <w:rFonts w:ascii="Times New Roman" w:hAnsi="Times New Roman" w:cs="Times New Roman"/>
          <w:b/>
          <w:sz w:val="24"/>
          <w:szCs w:val="24"/>
        </w:rPr>
      </w:pPr>
    </w:p>
    <w:p w14:paraId="3FF735FD" w14:textId="77777777" w:rsidR="00783F18" w:rsidRPr="00783F18" w:rsidRDefault="00783F18" w:rsidP="00783F18">
      <w:pPr>
        <w:rPr>
          <w:rFonts w:ascii="Times New Roman" w:hAnsi="Times New Roman" w:cs="Times New Roman"/>
          <w:b/>
          <w:sz w:val="24"/>
          <w:szCs w:val="24"/>
        </w:rPr>
      </w:pPr>
    </w:p>
    <w:tbl>
      <w:tblPr>
        <w:tblW w:w="901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83F18" w:rsidRPr="00783F18" w14:paraId="49C0A2B3" w14:textId="77777777" w:rsidTr="008001AE">
        <w:trPr>
          <w:trHeight w:val="440"/>
        </w:trPr>
        <w:tc>
          <w:tcPr>
            <w:tcW w:w="9016" w:type="dxa"/>
            <w:gridSpan w:val="2"/>
          </w:tcPr>
          <w:p w14:paraId="09DEF744"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Other risks considered</w:t>
            </w:r>
          </w:p>
        </w:tc>
      </w:tr>
      <w:tr w:rsidR="00783F18" w:rsidRPr="00783F18" w14:paraId="39390108" w14:textId="77777777" w:rsidTr="008001AE">
        <w:tc>
          <w:tcPr>
            <w:tcW w:w="4508" w:type="dxa"/>
          </w:tcPr>
          <w:p w14:paraId="7E2E934D"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Question</w:t>
            </w:r>
          </w:p>
        </w:tc>
        <w:tc>
          <w:tcPr>
            <w:tcW w:w="4508" w:type="dxa"/>
          </w:tcPr>
          <w:p w14:paraId="5BD5EEDA"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Responses</w:t>
            </w:r>
          </w:p>
        </w:tc>
      </w:tr>
      <w:tr w:rsidR="00783F18" w:rsidRPr="00783F18" w14:paraId="3889E0DA" w14:textId="77777777" w:rsidTr="008001AE">
        <w:tc>
          <w:tcPr>
            <w:tcW w:w="4508" w:type="dxa"/>
          </w:tcPr>
          <w:p w14:paraId="5AE94F98"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 xml:space="preserve">Other risks </w:t>
            </w:r>
            <w:proofErr w:type="gramStart"/>
            <w:r w:rsidRPr="00783F18">
              <w:rPr>
                <w:rFonts w:ascii="Times New Roman" w:hAnsi="Times New Roman" w:cs="Times New Roman"/>
                <w:b/>
                <w:sz w:val="24"/>
                <w:szCs w:val="24"/>
              </w:rPr>
              <w:t>considered</w:t>
            </w:r>
            <w:proofErr w:type="gramEnd"/>
          </w:p>
          <w:p w14:paraId="439F6332"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lastRenderedPageBreak/>
              <w:t xml:space="preserve">Were other risks considered and not included in the B-R assessment? </w:t>
            </w:r>
          </w:p>
        </w:tc>
        <w:tc>
          <w:tcPr>
            <w:tcW w:w="4508" w:type="dxa"/>
          </w:tcPr>
          <w:p w14:paraId="54AD3AFF" w14:textId="77777777" w:rsidR="00783F18" w:rsidRPr="00783F18" w:rsidRDefault="00783F18" w:rsidP="00783F18">
            <w:pPr>
              <w:numPr>
                <w:ilvl w:val="0"/>
                <w:numId w:val="11"/>
              </w:numPr>
              <w:autoSpaceDE w:val="0"/>
              <w:autoSpaceDN w:val="0"/>
              <w:adjustRightInd w:val="0"/>
              <w:spacing w:after="0" w:line="240" w:lineRule="auto"/>
              <w:rPr>
                <w:rFonts w:ascii="Times New Roman" w:hAnsi="Times New Roman" w:cs="Times New Roman"/>
                <w:sz w:val="24"/>
                <w:szCs w:val="24"/>
              </w:rPr>
            </w:pPr>
            <w:r w:rsidRPr="00783F18">
              <w:rPr>
                <w:rFonts w:ascii="Times New Roman" w:hAnsi="Times New Roman" w:cs="Times New Roman"/>
                <w:sz w:val="24"/>
                <w:szCs w:val="24"/>
              </w:rPr>
              <w:lastRenderedPageBreak/>
              <w:t>Yes</w:t>
            </w:r>
          </w:p>
          <w:p w14:paraId="14BD2D91" w14:textId="77777777" w:rsidR="00783F18" w:rsidRPr="00783F18" w:rsidRDefault="00783F18" w:rsidP="00783F18">
            <w:pPr>
              <w:numPr>
                <w:ilvl w:val="0"/>
                <w:numId w:val="11"/>
              </w:numPr>
              <w:autoSpaceDE w:val="0"/>
              <w:autoSpaceDN w:val="0"/>
              <w:adjustRightInd w:val="0"/>
              <w:spacing w:after="0" w:line="240" w:lineRule="auto"/>
              <w:rPr>
                <w:rFonts w:ascii="Times New Roman" w:hAnsi="Times New Roman" w:cs="Times New Roman"/>
                <w:sz w:val="24"/>
                <w:szCs w:val="24"/>
              </w:rPr>
            </w:pPr>
            <w:r w:rsidRPr="00783F18">
              <w:rPr>
                <w:rFonts w:ascii="Times New Roman" w:hAnsi="Times New Roman" w:cs="Times New Roman"/>
                <w:sz w:val="24"/>
                <w:szCs w:val="24"/>
              </w:rPr>
              <w:t>No</w:t>
            </w:r>
          </w:p>
        </w:tc>
      </w:tr>
      <w:tr w:rsidR="00783F18" w:rsidRPr="00783F18" w14:paraId="78D90CE8" w14:textId="77777777" w:rsidTr="008001AE">
        <w:tc>
          <w:tcPr>
            <w:tcW w:w="4508" w:type="dxa"/>
          </w:tcPr>
          <w:p w14:paraId="1C83E87C"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Which risks were considered?</w:t>
            </w:r>
          </w:p>
        </w:tc>
        <w:tc>
          <w:tcPr>
            <w:tcW w:w="4508" w:type="dxa"/>
          </w:tcPr>
          <w:p w14:paraId="0B7A95FF" w14:textId="77777777" w:rsidR="00783F18" w:rsidRPr="00783F18" w:rsidRDefault="00783F18" w:rsidP="008001AE">
            <w:pPr>
              <w:rPr>
                <w:rFonts w:ascii="Times New Roman" w:hAnsi="Times New Roman" w:cs="Times New Roman"/>
                <w:sz w:val="24"/>
                <w:szCs w:val="24"/>
              </w:rPr>
            </w:pPr>
          </w:p>
        </w:tc>
      </w:tr>
      <w:tr w:rsidR="00783F18" w:rsidRPr="00783F18" w14:paraId="172D5FC7" w14:textId="77777777" w:rsidTr="008001AE">
        <w:tc>
          <w:tcPr>
            <w:tcW w:w="4508" w:type="dxa"/>
          </w:tcPr>
          <w:p w14:paraId="39D1261B"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Rationale for exclusion</w:t>
            </w:r>
          </w:p>
        </w:tc>
        <w:tc>
          <w:tcPr>
            <w:tcW w:w="4508" w:type="dxa"/>
          </w:tcPr>
          <w:p w14:paraId="27AF9D2C" w14:textId="77777777" w:rsidR="00783F18" w:rsidRPr="00783F18" w:rsidRDefault="00783F18" w:rsidP="008001AE">
            <w:pPr>
              <w:rPr>
                <w:rFonts w:ascii="Times New Roman" w:hAnsi="Times New Roman" w:cs="Times New Roman"/>
                <w:sz w:val="24"/>
                <w:szCs w:val="24"/>
              </w:rPr>
            </w:pPr>
          </w:p>
        </w:tc>
      </w:tr>
    </w:tbl>
    <w:p w14:paraId="42C01103" w14:textId="77777777" w:rsidR="00783F18" w:rsidRPr="00783F18" w:rsidRDefault="00783F18" w:rsidP="00783F18">
      <w:pPr>
        <w:rPr>
          <w:rFonts w:ascii="Times New Roman" w:hAnsi="Times New Roman" w:cs="Times New Roman"/>
          <w:b/>
          <w:sz w:val="24"/>
          <w:szCs w:val="24"/>
        </w:rPr>
      </w:pPr>
    </w:p>
    <w:tbl>
      <w:tblPr>
        <w:tblW w:w="8999" w:type="dxa"/>
        <w:tblInd w:w="-1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8999"/>
      </w:tblGrid>
      <w:tr w:rsidR="00783F18" w:rsidRPr="00783F18" w14:paraId="466B7F18" w14:textId="77777777" w:rsidTr="00362430">
        <w:trPr>
          <w:trHeight w:val="1188"/>
        </w:trPr>
        <w:tc>
          <w:tcPr>
            <w:tcW w:w="8999" w:type="dxa"/>
            <w:shd w:val="clear" w:color="auto" w:fill="FFFF99"/>
          </w:tcPr>
          <w:p w14:paraId="52128791" w14:textId="77777777" w:rsidR="005A7F99" w:rsidRDefault="005A7F99" w:rsidP="005A7F99">
            <w:pPr>
              <w:spacing w:line="240" w:lineRule="auto"/>
              <w:rPr>
                <w:rFonts w:ascii="Times New Roman" w:hAnsi="Times New Roman" w:cs="Times New Roman"/>
                <w:b/>
                <w:sz w:val="24"/>
                <w:szCs w:val="24"/>
              </w:rPr>
            </w:pPr>
          </w:p>
          <w:p w14:paraId="2EDF451F" w14:textId="4A163C42" w:rsidR="00783F18" w:rsidRPr="00783F18" w:rsidRDefault="00362430" w:rsidP="00362430">
            <w:pPr>
              <w:spacing w:line="480" w:lineRule="auto"/>
              <w:rPr>
                <w:rFonts w:ascii="Times New Roman" w:hAnsi="Times New Roman" w:cs="Times New Roman"/>
                <w:sz w:val="24"/>
                <w:szCs w:val="24"/>
              </w:rPr>
            </w:pPr>
            <w:r>
              <w:rPr>
                <w:rFonts w:ascii="Times New Roman" w:hAnsi="Times New Roman" w:cs="Times New Roman"/>
                <w:b/>
                <w:sz w:val="24"/>
                <w:szCs w:val="24"/>
              </w:rPr>
              <w:t>S</w:t>
            </w:r>
            <w:r w:rsidR="00783F18" w:rsidRPr="00783F18">
              <w:rPr>
                <w:rFonts w:ascii="Times New Roman" w:hAnsi="Times New Roman" w:cs="Times New Roman"/>
                <w:b/>
                <w:sz w:val="24"/>
                <w:szCs w:val="24"/>
              </w:rPr>
              <w:t>ection 3: Data sources</w:t>
            </w:r>
            <w:r w:rsidR="00783F18" w:rsidRPr="00783F18">
              <w:rPr>
                <w:rFonts w:ascii="Times New Roman" w:hAnsi="Times New Roman" w:cs="Times New Roman"/>
                <w:sz w:val="24"/>
                <w:szCs w:val="24"/>
              </w:rPr>
              <w:t>:</w:t>
            </w:r>
          </w:p>
        </w:tc>
      </w:tr>
    </w:tbl>
    <w:p w14:paraId="7E7F7BAC" w14:textId="77777777" w:rsidR="00362430" w:rsidRDefault="00362430" w:rsidP="005A7F99">
      <w:pPr>
        <w:spacing w:line="240" w:lineRule="auto"/>
        <w:rPr>
          <w:rFonts w:ascii="Times New Roman" w:hAnsi="Times New Roman" w:cs="Times New Roman"/>
          <w:sz w:val="24"/>
          <w:szCs w:val="24"/>
        </w:rPr>
      </w:pPr>
    </w:p>
    <w:p w14:paraId="46A1FE1B" w14:textId="2DDB67AC"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 xml:space="preserve">Data sources planned to be used for the B-R assessments or that were used for the assessment, their characteristics, and limitations. As appropriate, describe the general method and criteria used to identify the data sources. List each data source separately and provide the rationale for its selection, its role in the assessment, and its limitations for B-R. Under limitations, if important for the B-R analysis, indicate if any subgroups of interest or scenarios of interest are not included or identified in any of the data sources. These roles for the data sources can be described in the Statistical Methods section below. </w:t>
      </w:r>
    </w:p>
    <w:p w14:paraId="4F9E3E14" w14:textId="5A6D2AF5"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Sources may include randomized controlled trials, observational studies, effectiveness studies, public health surveillance data (</w:t>
      </w:r>
      <w:r w:rsidR="002E79EE" w:rsidRPr="00783F18">
        <w:rPr>
          <w:rFonts w:ascii="Times New Roman" w:hAnsi="Times New Roman" w:cs="Times New Roman"/>
          <w:sz w:val="24"/>
          <w:szCs w:val="24"/>
        </w:rPr>
        <w:t>e.g.,</w:t>
      </w:r>
      <w:r w:rsidRPr="00783F18">
        <w:rPr>
          <w:rFonts w:ascii="Times New Roman" w:hAnsi="Times New Roman" w:cs="Times New Roman"/>
          <w:sz w:val="24"/>
          <w:szCs w:val="24"/>
        </w:rPr>
        <w:t xml:space="preserve"> CDC), spontaneous </w:t>
      </w:r>
      <w:r w:rsidR="00C11D5E">
        <w:rPr>
          <w:rFonts w:ascii="Times New Roman" w:hAnsi="Times New Roman" w:cs="Times New Roman"/>
          <w:sz w:val="24"/>
          <w:szCs w:val="24"/>
        </w:rPr>
        <w:t xml:space="preserve">adverse event </w:t>
      </w:r>
      <w:r w:rsidRPr="00783F18">
        <w:rPr>
          <w:rFonts w:ascii="Times New Roman" w:hAnsi="Times New Roman" w:cs="Times New Roman"/>
          <w:sz w:val="24"/>
          <w:szCs w:val="24"/>
        </w:rPr>
        <w:t>reports, long-term efficacy or safety studies, pharmacovigilance databases, etc. Clinical trial or other data reported through literature publications or public presentations should be clearly identified with the manuscript</w:t>
      </w:r>
      <w:r w:rsidR="00C11D5E">
        <w:rPr>
          <w:rFonts w:ascii="Times New Roman" w:hAnsi="Times New Roman" w:cs="Times New Roman"/>
          <w:sz w:val="24"/>
          <w:szCs w:val="24"/>
        </w:rPr>
        <w:t xml:space="preserve"> website</w:t>
      </w:r>
      <w:r w:rsidRPr="00783F18">
        <w:rPr>
          <w:rFonts w:ascii="Times New Roman" w:hAnsi="Times New Roman" w:cs="Times New Roman"/>
          <w:sz w:val="24"/>
          <w:szCs w:val="24"/>
        </w:rPr>
        <w:t xml:space="preserve"> or presentation information to differentiate those data reported from a trial database and summarized in a non-public report (</w:t>
      </w:r>
      <w:r w:rsidR="002E79EE" w:rsidRPr="00783F18">
        <w:rPr>
          <w:rFonts w:ascii="Times New Roman" w:hAnsi="Times New Roman" w:cs="Times New Roman"/>
          <w:sz w:val="24"/>
          <w:szCs w:val="24"/>
        </w:rPr>
        <w:t>e.g.,</w:t>
      </w:r>
      <w:r w:rsidRPr="00783F18">
        <w:rPr>
          <w:rFonts w:ascii="Times New Roman" w:hAnsi="Times New Roman" w:cs="Times New Roman"/>
          <w:sz w:val="24"/>
          <w:szCs w:val="24"/>
        </w:rPr>
        <w:t xml:space="preserve"> clinical study report, integrated summary, clinical overview, etc.).</w:t>
      </w:r>
    </w:p>
    <w:p w14:paraId="04C0712B" w14:textId="77777777" w:rsidR="00783F18" w:rsidRPr="00783F18" w:rsidRDefault="00783F18" w:rsidP="00783F18">
      <w:pPr>
        <w:rPr>
          <w:rFonts w:ascii="Times New Roman" w:hAnsi="Times New Roman" w:cs="Times New Roman"/>
          <w:b/>
          <w:i/>
          <w:sz w:val="24"/>
          <w:szCs w:val="24"/>
        </w:rPr>
      </w:pPr>
    </w:p>
    <w:tbl>
      <w:tblPr>
        <w:tblW w:w="84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880"/>
        <w:gridCol w:w="4140"/>
      </w:tblGrid>
      <w:tr w:rsidR="00783F18" w:rsidRPr="00783F18" w14:paraId="1DF090AC" w14:textId="77777777" w:rsidTr="008001AE">
        <w:tc>
          <w:tcPr>
            <w:tcW w:w="1435" w:type="dxa"/>
          </w:tcPr>
          <w:p w14:paraId="65C22150"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Source</w:t>
            </w:r>
          </w:p>
        </w:tc>
        <w:tc>
          <w:tcPr>
            <w:tcW w:w="2880" w:type="dxa"/>
          </w:tcPr>
          <w:p w14:paraId="6384D7B9"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Role in B-R assessment</w:t>
            </w:r>
          </w:p>
        </w:tc>
        <w:tc>
          <w:tcPr>
            <w:tcW w:w="4140" w:type="dxa"/>
          </w:tcPr>
          <w:p w14:paraId="7A54AFFE"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Rationale and Limitations for B-R</w:t>
            </w:r>
          </w:p>
        </w:tc>
      </w:tr>
      <w:tr w:rsidR="00783F18" w:rsidRPr="00783F18" w14:paraId="001CB1B0" w14:textId="77777777" w:rsidTr="008001AE">
        <w:tc>
          <w:tcPr>
            <w:tcW w:w="1435" w:type="dxa"/>
          </w:tcPr>
          <w:p w14:paraId="30EAD174" w14:textId="77777777" w:rsidR="00783F18" w:rsidRPr="00783F18" w:rsidRDefault="00783F18" w:rsidP="008001AE">
            <w:pPr>
              <w:rPr>
                <w:rFonts w:ascii="Times New Roman" w:hAnsi="Times New Roman" w:cs="Times New Roman"/>
                <w:sz w:val="24"/>
                <w:szCs w:val="24"/>
              </w:rPr>
            </w:pPr>
          </w:p>
        </w:tc>
        <w:tc>
          <w:tcPr>
            <w:tcW w:w="2880" w:type="dxa"/>
          </w:tcPr>
          <w:p w14:paraId="3B72271B" w14:textId="77777777" w:rsidR="00783F18" w:rsidRPr="00783F18" w:rsidRDefault="00783F18" w:rsidP="008001AE">
            <w:pPr>
              <w:rPr>
                <w:rFonts w:ascii="Times New Roman" w:hAnsi="Times New Roman" w:cs="Times New Roman"/>
                <w:sz w:val="24"/>
                <w:szCs w:val="24"/>
              </w:rPr>
            </w:pPr>
          </w:p>
        </w:tc>
        <w:tc>
          <w:tcPr>
            <w:tcW w:w="4140" w:type="dxa"/>
          </w:tcPr>
          <w:p w14:paraId="25531A17" w14:textId="77777777" w:rsidR="00783F18" w:rsidRPr="00783F18" w:rsidRDefault="00783F18" w:rsidP="008001AE">
            <w:pPr>
              <w:rPr>
                <w:rFonts w:ascii="Times New Roman" w:hAnsi="Times New Roman" w:cs="Times New Roman"/>
                <w:sz w:val="24"/>
                <w:szCs w:val="24"/>
              </w:rPr>
            </w:pPr>
          </w:p>
        </w:tc>
      </w:tr>
      <w:tr w:rsidR="00783F18" w:rsidRPr="00783F18" w14:paraId="06CD1C12" w14:textId="77777777" w:rsidTr="008001AE">
        <w:tc>
          <w:tcPr>
            <w:tcW w:w="1435" w:type="dxa"/>
          </w:tcPr>
          <w:p w14:paraId="67D94B6E"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w:t>
            </w:r>
          </w:p>
        </w:tc>
        <w:tc>
          <w:tcPr>
            <w:tcW w:w="2880" w:type="dxa"/>
          </w:tcPr>
          <w:p w14:paraId="162FB865" w14:textId="77777777" w:rsidR="00783F18" w:rsidRPr="00783F18" w:rsidRDefault="00783F18" w:rsidP="008001AE">
            <w:pPr>
              <w:rPr>
                <w:rFonts w:ascii="Times New Roman" w:hAnsi="Times New Roman" w:cs="Times New Roman"/>
                <w:sz w:val="24"/>
                <w:szCs w:val="24"/>
              </w:rPr>
            </w:pPr>
          </w:p>
        </w:tc>
        <w:tc>
          <w:tcPr>
            <w:tcW w:w="4140" w:type="dxa"/>
          </w:tcPr>
          <w:p w14:paraId="3FC1BF1A" w14:textId="77777777" w:rsidR="00783F18" w:rsidRPr="00783F18" w:rsidRDefault="00783F18" w:rsidP="008001AE">
            <w:pPr>
              <w:rPr>
                <w:rFonts w:ascii="Times New Roman" w:hAnsi="Times New Roman" w:cs="Times New Roman"/>
                <w:sz w:val="24"/>
                <w:szCs w:val="24"/>
              </w:rPr>
            </w:pPr>
          </w:p>
        </w:tc>
      </w:tr>
    </w:tbl>
    <w:p w14:paraId="05BA86EE" w14:textId="77777777" w:rsidR="00783F18" w:rsidRPr="00783F18" w:rsidRDefault="00783F18" w:rsidP="00783F18">
      <w:pPr>
        <w:rPr>
          <w:rFonts w:ascii="Times New Roman" w:hAnsi="Times New Roman" w:cs="Times New Roman"/>
          <w:b/>
          <w:sz w:val="24"/>
          <w:szCs w:val="24"/>
        </w:rPr>
      </w:pPr>
    </w:p>
    <w:tbl>
      <w:tblPr>
        <w:tblW w:w="8980" w:type="dxa"/>
        <w:tblInd w:w="-1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8980"/>
      </w:tblGrid>
      <w:tr w:rsidR="00783F18" w:rsidRPr="00783F18" w14:paraId="2BE89D5B" w14:textId="77777777" w:rsidTr="008001AE">
        <w:tc>
          <w:tcPr>
            <w:tcW w:w="8980" w:type="dxa"/>
            <w:shd w:val="clear" w:color="auto" w:fill="FFFF99"/>
          </w:tcPr>
          <w:p w14:paraId="5FD70843" w14:textId="77777777" w:rsidR="00783F18" w:rsidRPr="00783F18" w:rsidRDefault="00783F18" w:rsidP="008001AE">
            <w:pPr>
              <w:rPr>
                <w:rFonts w:ascii="Times New Roman" w:hAnsi="Times New Roman" w:cs="Times New Roman"/>
                <w:b/>
                <w:sz w:val="24"/>
                <w:szCs w:val="24"/>
              </w:rPr>
            </w:pPr>
          </w:p>
          <w:p w14:paraId="5764EE32" w14:textId="77777777" w:rsidR="00783F18" w:rsidRPr="00783F18" w:rsidRDefault="00783F18" w:rsidP="005A7F99">
            <w:pPr>
              <w:spacing w:after="0"/>
              <w:rPr>
                <w:rFonts w:ascii="Times New Roman" w:hAnsi="Times New Roman" w:cs="Times New Roman"/>
                <w:sz w:val="24"/>
                <w:szCs w:val="24"/>
              </w:rPr>
            </w:pPr>
            <w:r w:rsidRPr="00783F18">
              <w:rPr>
                <w:rFonts w:ascii="Times New Roman" w:hAnsi="Times New Roman" w:cs="Times New Roman"/>
                <w:b/>
                <w:sz w:val="24"/>
                <w:szCs w:val="24"/>
              </w:rPr>
              <w:t>Section 4: Statistical methods</w:t>
            </w:r>
            <w:r w:rsidRPr="00783F18">
              <w:rPr>
                <w:rFonts w:ascii="Times New Roman" w:hAnsi="Times New Roman" w:cs="Times New Roman"/>
                <w:sz w:val="24"/>
                <w:szCs w:val="24"/>
              </w:rPr>
              <w:t>:</w:t>
            </w:r>
          </w:p>
          <w:p w14:paraId="5612D7AB" w14:textId="23B06B46" w:rsidR="00783F18" w:rsidRPr="00783F18" w:rsidRDefault="00783F18" w:rsidP="005A7F99">
            <w:pPr>
              <w:spacing w:line="240" w:lineRule="auto"/>
              <w:rPr>
                <w:rFonts w:ascii="Times New Roman" w:hAnsi="Times New Roman" w:cs="Times New Roman"/>
                <w:sz w:val="24"/>
                <w:szCs w:val="24"/>
              </w:rPr>
            </w:pPr>
          </w:p>
        </w:tc>
      </w:tr>
    </w:tbl>
    <w:p w14:paraId="07E5AFB3" w14:textId="77777777" w:rsidR="00362430" w:rsidRDefault="00362430" w:rsidP="00783F18">
      <w:pPr>
        <w:rPr>
          <w:rFonts w:ascii="Times New Roman" w:hAnsi="Times New Roman" w:cs="Times New Roman"/>
          <w:sz w:val="24"/>
          <w:szCs w:val="24"/>
        </w:rPr>
      </w:pPr>
      <w:bookmarkStart w:id="5" w:name="_heading=h.30j0zll" w:colFirst="0" w:colLast="0"/>
      <w:bookmarkEnd w:id="5"/>
    </w:p>
    <w:p w14:paraId="35C373C7" w14:textId="12AC967E"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Describe the approaches used to give rates and cases prevented or caused in Sections 4 and 5. Alternatively, a report can be attached that demonstrates how the data entered in sections 4 and 5 were derived from data sources.</w:t>
      </w:r>
    </w:p>
    <w:p w14:paraId="1D431EDD" w14:textId="6F1340FB"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 xml:space="preserve">As appropriate, describe the types of metrics used (e.g., proportions, exposure-time rates), analysis sets, time horizon, strata adjustments, methods for pooling of data sources, 95% confidence intervals or other measures of uncertainty and sensitivity analyses. If different methods are used for different endpoints, the information can be provided for endpoints in groups assessed in a similar manner. Show how data </w:t>
      </w:r>
      <w:r w:rsidR="00B41219">
        <w:rPr>
          <w:rFonts w:ascii="Times New Roman" w:hAnsi="Times New Roman" w:cs="Times New Roman"/>
          <w:sz w:val="24"/>
          <w:szCs w:val="24"/>
        </w:rPr>
        <w:t>are</w:t>
      </w:r>
      <w:r w:rsidR="00B41219" w:rsidRPr="00783F18">
        <w:rPr>
          <w:rFonts w:ascii="Times New Roman" w:hAnsi="Times New Roman" w:cs="Times New Roman"/>
          <w:sz w:val="24"/>
          <w:szCs w:val="24"/>
        </w:rPr>
        <w:t xml:space="preserve"> </w:t>
      </w:r>
      <w:r w:rsidRPr="00783F18">
        <w:rPr>
          <w:rFonts w:ascii="Times New Roman" w:hAnsi="Times New Roman" w:cs="Times New Roman"/>
          <w:sz w:val="24"/>
          <w:szCs w:val="24"/>
        </w:rPr>
        <w:t>converted to be expressed as cases per 1,000,000 individuals vaccinated, if appropriate. Note that the denominator of 1,000,000 individuals is shown for providing a public health context to the data and to ease interpretation of cases caused and prevented</w:t>
      </w:r>
      <w:r w:rsidR="00541407">
        <w:rPr>
          <w:rFonts w:ascii="Times New Roman" w:hAnsi="Times New Roman" w:cs="Times New Roman"/>
          <w:sz w:val="24"/>
          <w:szCs w:val="24"/>
        </w:rPr>
        <w:t xml:space="preserve">, </w:t>
      </w:r>
      <w:r w:rsidRPr="00783F18">
        <w:rPr>
          <w:rFonts w:ascii="Times New Roman" w:hAnsi="Times New Roman" w:cs="Times New Roman"/>
          <w:sz w:val="24"/>
          <w:szCs w:val="24"/>
        </w:rPr>
        <w:t>however, any useful denominator may be used.</w:t>
      </w:r>
    </w:p>
    <w:p w14:paraId="33738592" w14:textId="7F68D70E"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List the sensitivity analyses conducted. In particular, (i) alternative incidence rates (due to varying transmission intensities, different data sources) and (ii) scenarios of special interest. Scenarios</w:t>
      </w:r>
      <w:r w:rsidRPr="00783F18">
        <w:rPr>
          <w:rFonts w:ascii="Times New Roman" w:hAnsi="Times New Roman" w:cs="Times New Roman"/>
          <w:sz w:val="24"/>
          <w:szCs w:val="24"/>
          <w:vertAlign w:val="superscript"/>
        </w:rPr>
        <w:footnoteReference w:id="2"/>
      </w:r>
      <w:r w:rsidRPr="00783F18">
        <w:rPr>
          <w:rFonts w:ascii="Times New Roman" w:hAnsi="Times New Roman" w:cs="Times New Roman"/>
          <w:sz w:val="24"/>
          <w:szCs w:val="24"/>
        </w:rPr>
        <w:t xml:space="preserve"> refer to combinations of assumptions that provide a sensitivity analysis to baseline assumptions (see glossary). Assessing B-R for different scenarios provides a sensitivity analysis to baseline assumptions. Any set of properties can be used to define a scenario.</w:t>
      </w:r>
    </w:p>
    <w:p w14:paraId="71D7F6F8" w14:textId="77381487"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lastRenderedPageBreak/>
        <w:t>This module supports B-R assessment based on the rates and severities of benefits and risks experienced by vaccine recipients. Deterministic or probabilistic population level B-R models can include reduced transmission due to herd immunity, limited vaccine uptake due to storage limitations, distribution challenges, vaccine hesitancy, the effects of alternative strategies (</w:t>
      </w:r>
      <w:r w:rsidR="002E79EE" w:rsidRPr="00783F18">
        <w:rPr>
          <w:rFonts w:ascii="Times New Roman" w:hAnsi="Times New Roman" w:cs="Times New Roman"/>
          <w:sz w:val="24"/>
          <w:szCs w:val="24"/>
        </w:rPr>
        <w:t>e.g.,</w:t>
      </w:r>
      <w:r w:rsidRPr="00783F18">
        <w:rPr>
          <w:rFonts w:ascii="Times New Roman" w:hAnsi="Times New Roman" w:cs="Times New Roman"/>
          <w:sz w:val="24"/>
          <w:szCs w:val="24"/>
        </w:rPr>
        <w:t xml:space="preserve"> lockdowns) especially on subgroups such as children and the elderly, etc. If such models are used in the B-R assessment, they can be described qualitatively with the model(s) included in an appendix to this module. A forecast/model can potentially be used to extrapolate data to a group for which information is unavailable</w:t>
      </w:r>
      <w:r w:rsidR="00B358DF">
        <w:rPr>
          <w:rFonts w:ascii="Times New Roman" w:hAnsi="Times New Roman" w:cs="Times New Roman"/>
          <w:sz w:val="24"/>
          <w:szCs w:val="24"/>
        </w:rPr>
        <w:t>.</w:t>
      </w:r>
    </w:p>
    <w:p w14:paraId="052A8C7F" w14:textId="77777777" w:rsidR="00783F18" w:rsidRPr="00783F18" w:rsidRDefault="00783F18" w:rsidP="00783F18">
      <w:pPr>
        <w:rPr>
          <w:rFonts w:ascii="Times New Roman" w:hAnsi="Times New Roman" w:cs="Times New Roman"/>
          <w:sz w:val="24"/>
          <w:szCs w:val="24"/>
        </w:rPr>
      </w:pPr>
    </w:p>
    <w:tbl>
      <w:tblPr>
        <w:tblW w:w="901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83F18" w:rsidRPr="00783F18" w14:paraId="50246339" w14:textId="77777777" w:rsidTr="008001AE">
        <w:trPr>
          <w:trHeight w:val="1016"/>
        </w:trPr>
        <w:tc>
          <w:tcPr>
            <w:tcW w:w="9016" w:type="dxa"/>
          </w:tcPr>
          <w:p w14:paraId="4C5C961D" w14:textId="77777777" w:rsidR="00783F18" w:rsidRPr="00783F18" w:rsidRDefault="00783F18" w:rsidP="008001AE">
            <w:pPr>
              <w:keepNext/>
              <w:rPr>
                <w:rFonts w:ascii="Times New Roman" w:hAnsi="Times New Roman" w:cs="Times New Roman"/>
                <w:b/>
                <w:sz w:val="24"/>
                <w:szCs w:val="24"/>
              </w:rPr>
            </w:pPr>
            <w:r w:rsidRPr="00783F18">
              <w:rPr>
                <w:rFonts w:ascii="Times New Roman" w:hAnsi="Times New Roman" w:cs="Times New Roman"/>
                <w:b/>
                <w:sz w:val="24"/>
                <w:szCs w:val="24"/>
              </w:rPr>
              <w:t>Overview of approach used to give data in Sections 5 and 6</w:t>
            </w:r>
          </w:p>
          <w:p w14:paraId="16F7B64C" w14:textId="77777777" w:rsidR="00783F18" w:rsidRPr="00783F18" w:rsidRDefault="00783F18" w:rsidP="008001AE">
            <w:pPr>
              <w:rPr>
                <w:rFonts w:ascii="Times New Roman" w:hAnsi="Times New Roman" w:cs="Times New Roman"/>
                <w:sz w:val="24"/>
                <w:szCs w:val="24"/>
              </w:rPr>
            </w:pPr>
          </w:p>
          <w:p w14:paraId="2E7B6D7F" w14:textId="77777777" w:rsidR="00783F18" w:rsidRPr="00783F18" w:rsidRDefault="00783F18" w:rsidP="008001AE">
            <w:pPr>
              <w:rPr>
                <w:rFonts w:ascii="Times New Roman" w:hAnsi="Times New Roman" w:cs="Times New Roman"/>
                <w:sz w:val="24"/>
                <w:szCs w:val="24"/>
              </w:rPr>
            </w:pPr>
          </w:p>
        </w:tc>
      </w:tr>
    </w:tbl>
    <w:p w14:paraId="1EFF637E" w14:textId="77777777" w:rsidR="00783F18" w:rsidRPr="00783F18" w:rsidRDefault="00783F18" w:rsidP="00783F18">
      <w:pPr>
        <w:rPr>
          <w:rFonts w:ascii="Times New Roman" w:hAnsi="Times New Roman" w:cs="Times New Roman"/>
          <w:sz w:val="24"/>
          <w:szCs w:val="24"/>
        </w:rPr>
      </w:pPr>
    </w:p>
    <w:p w14:paraId="46988DD3" w14:textId="77777777" w:rsidR="00783F18" w:rsidRPr="00783F18" w:rsidRDefault="00783F18" w:rsidP="00783F18">
      <w:pPr>
        <w:rPr>
          <w:rFonts w:ascii="Times New Roman" w:hAnsi="Times New Roman" w:cs="Times New Roman"/>
          <w:b/>
          <w:sz w:val="24"/>
          <w:szCs w:val="24"/>
        </w:rPr>
      </w:pPr>
    </w:p>
    <w:tbl>
      <w:tblPr>
        <w:tblW w:w="901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83F18" w:rsidRPr="00783F18" w14:paraId="42BC8D1C" w14:textId="77777777" w:rsidTr="008001AE">
        <w:tc>
          <w:tcPr>
            <w:tcW w:w="4508" w:type="dxa"/>
          </w:tcPr>
          <w:p w14:paraId="6585A234"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Question</w:t>
            </w:r>
          </w:p>
        </w:tc>
        <w:tc>
          <w:tcPr>
            <w:tcW w:w="4508" w:type="dxa"/>
          </w:tcPr>
          <w:p w14:paraId="52AC9AD4"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Responses</w:t>
            </w:r>
          </w:p>
        </w:tc>
      </w:tr>
      <w:tr w:rsidR="00783F18" w:rsidRPr="00783F18" w14:paraId="78A07DBC" w14:textId="77777777" w:rsidTr="008001AE">
        <w:tc>
          <w:tcPr>
            <w:tcW w:w="4508" w:type="dxa"/>
          </w:tcPr>
          <w:p w14:paraId="567E39B2"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Date range for data used in analysis:</w:t>
            </w:r>
            <w:r w:rsidRPr="00783F18">
              <w:rPr>
                <w:rFonts w:ascii="Times New Roman" w:hAnsi="Times New Roman" w:cs="Times New Roman"/>
                <w:b/>
                <w:sz w:val="24"/>
                <w:szCs w:val="24"/>
              </w:rPr>
              <w:br/>
            </w:r>
            <w:r w:rsidRPr="00783F18">
              <w:rPr>
                <w:rFonts w:ascii="Times New Roman" w:hAnsi="Times New Roman" w:cs="Times New Roman"/>
                <w:sz w:val="24"/>
                <w:szCs w:val="24"/>
              </w:rPr>
              <w:t>(Over what time period was the data used in these analyses collected?)</w:t>
            </w:r>
          </w:p>
        </w:tc>
        <w:tc>
          <w:tcPr>
            <w:tcW w:w="4508" w:type="dxa"/>
          </w:tcPr>
          <w:p w14:paraId="4378494A" w14:textId="77777777" w:rsidR="00783F18" w:rsidRPr="00783F18" w:rsidRDefault="00783F18" w:rsidP="008001AE">
            <w:pPr>
              <w:rPr>
                <w:rFonts w:ascii="Times New Roman" w:hAnsi="Times New Roman" w:cs="Times New Roman"/>
                <w:sz w:val="24"/>
                <w:szCs w:val="24"/>
              </w:rPr>
            </w:pPr>
          </w:p>
        </w:tc>
      </w:tr>
      <w:tr w:rsidR="00783F18" w:rsidRPr="00783F18" w14:paraId="49D2481B" w14:textId="77777777" w:rsidTr="008001AE">
        <w:tc>
          <w:tcPr>
            <w:tcW w:w="4508" w:type="dxa"/>
          </w:tcPr>
          <w:p w14:paraId="40049E0B"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Vaccine Effectiveness</w:t>
            </w:r>
          </w:p>
          <w:p w14:paraId="0C2FD282"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(What assumptions are used for vaccine effectiveness?  What is the rationale?  If there are multiple periods with different levels of effectiveness assumed, describe the assumptions and the supporting rationale.</w:t>
            </w:r>
          </w:p>
        </w:tc>
        <w:tc>
          <w:tcPr>
            <w:tcW w:w="4508" w:type="dxa"/>
          </w:tcPr>
          <w:p w14:paraId="21AB75C8" w14:textId="77777777" w:rsidR="00783F18" w:rsidRPr="00783F18" w:rsidRDefault="00783F18" w:rsidP="008001AE">
            <w:pPr>
              <w:pBdr>
                <w:top w:val="nil"/>
                <w:left w:val="nil"/>
                <w:bottom w:val="nil"/>
                <w:right w:val="nil"/>
                <w:between w:val="nil"/>
              </w:pBdr>
              <w:ind w:left="720" w:hanging="360"/>
              <w:rPr>
                <w:rFonts w:ascii="Times New Roman" w:hAnsi="Times New Roman" w:cs="Times New Roman"/>
                <w:sz w:val="24"/>
                <w:szCs w:val="24"/>
              </w:rPr>
            </w:pPr>
          </w:p>
        </w:tc>
      </w:tr>
      <w:tr w:rsidR="00783F18" w:rsidRPr="00783F18" w14:paraId="68E17642" w14:textId="77777777" w:rsidTr="008001AE">
        <w:tc>
          <w:tcPr>
            <w:tcW w:w="4508" w:type="dxa"/>
          </w:tcPr>
          <w:p w14:paraId="23251478" w14:textId="36B1C1B3"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Type of measurements:</w:t>
            </w:r>
            <w:r w:rsidRPr="00783F18">
              <w:rPr>
                <w:rFonts w:ascii="Times New Roman" w:hAnsi="Times New Roman" w:cs="Times New Roman"/>
                <w:sz w:val="24"/>
                <w:szCs w:val="24"/>
              </w:rPr>
              <w:br/>
            </w:r>
            <w:r w:rsidR="002E79EE" w:rsidRPr="00783F18">
              <w:rPr>
                <w:rFonts w:ascii="Times New Roman" w:hAnsi="Times New Roman" w:cs="Times New Roman"/>
                <w:sz w:val="24"/>
                <w:szCs w:val="24"/>
              </w:rPr>
              <w:t>e.g.,</w:t>
            </w:r>
            <w:r w:rsidRPr="00783F18">
              <w:rPr>
                <w:rFonts w:ascii="Times New Roman" w:hAnsi="Times New Roman" w:cs="Times New Roman"/>
                <w:sz w:val="24"/>
                <w:szCs w:val="24"/>
              </w:rPr>
              <w:t xml:space="preserve"> incidence rate, incidence proportion, case count per 1,000,000 vaccinated</w:t>
            </w:r>
          </w:p>
        </w:tc>
        <w:tc>
          <w:tcPr>
            <w:tcW w:w="4508" w:type="dxa"/>
          </w:tcPr>
          <w:p w14:paraId="608EFF35" w14:textId="77777777" w:rsidR="00783F18" w:rsidRPr="00783F18" w:rsidRDefault="00783F18" w:rsidP="008001AE">
            <w:pPr>
              <w:pBdr>
                <w:top w:val="nil"/>
                <w:left w:val="nil"/>
                <w:bottom w:val="nil"/>
                <w:right w:val="nil"/>
                <w:between w:val="nil"/>
              </w:pBdr>
              <w:rPr>
                <w:rFonts w:ascii="Times New Roman" w:hAnsi="Times New Roman" w:cs="Times New Roman"/>
                <w:sz w:val="24"/>
                <w:szCs w:val="24"/>
              </w:rPr>
            </w:pPr>
          </w:p>
        </w:tc>
      </w:tr>
      <w:tr w:rsidR="00783F18" w:rsidRPr="00783F18" w14:paraId="42C2FE07" w14:textId="77777777" w:rsidTr="008001AE">
        <w:tc>
          <w:tcPr>
            <w:tcW w:w="4508" w:type="dxa"/>
          </w:tcPr>
          <w:p w14:paraId="2C82B24C"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Population-level modelling:</w:t>
            </w:r>
          </w:p>
          <w:p w14:paraId="2CFECBCD"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Does this analysis include population-level models (see glossary)?</w:t>
            </w:r>
          </w:p>
        </w:tc>
        <w:tc>
          <w:tcPr>
            <w:tcW w:w="4508" w:type="dxa"/>
          </w:tcPr>
          <w:p w14:paraId="45DD482C" w14:textId="77777777" w:rsidR="00783F18" w:rsidRPr="00783F18" w:rsidRDefault="00783F18" w:rsidP="00783F18">
            <w:pPr>
              <w:numPr>
                <w:ilvl w:val="0"/>
                <w:numId w:val="11"/>
              </w:numPr>
              <w:autoSpaceDE w:val="0"/>
              <w:autoSpaceDN w:val="0"/>
              <w:adjustRightInd w:val="0"/>
              <w:spacing w:after="0" w:line="240" w:lineRule="auto"/>
              <w:rPr>
                <w:rFonts w:ascii="Times New Roman" w:hAnsi="Times New Roman" w:cs="Times New Roman"/>
                <w:sz w:val="24"/>
                <w:szCs w:val="24"/>
              </w:rPr>
            </w:pPr>
            <w:r w:rsidRPr="00783F18">
              <w:rPr>
                <w:rFonts w:ascii="Times New Roman" w:hAnsi="Times New Roman" w:cs="Times New Roman"/>
                <w:sz w:val="24"/>
                <w:szCs w:val="24"/>
              </w:rPr>
              <w:t>Yes</w:t>
            </w:r>
          </w:p>
          <w:p w14:paraId="55268B83" w14:textId="77777777" w:rsidR="00783F18" w:rsidRPr="00783F18" w:rsidRDefault="00783F18" w:rsidP="00783F18">
            <w:pPr>
              <w:numPr>
                <w:ilvl w:val="0"/>
                <w:numId w:val="11"/>
              </w:numPr>
              <w:autoSpaceDE w:val="0"/>
              <w:autoSpaceDN w:val="0"/>
              <w:adjustRightInd w:val="0"/>
              <w:spacing w:after="0" w:line="240" w:lineRule="auto"/>
              <w:rPr>
                <w:rFonts w:ascii="Times New Roman" w:hAnsi="Times New Roman" w:cs="Times New Roman"/>
                <w:sz w:val="24"/>
                <w:szCs w:val="24"/>
              </w:rPr>
            </w:pPr>
            <w:r w:rsidRPr="00783F18">
              <w:rPr>
                <w:rFonts w:ascii="Times New Roman" w:hAnsi="Times New Roman" w:cs="Times New Roman"/>
                <w:sz w:val="24"/>
                <w:szCs w:val="24"/>
              </w:rPr>
              <w:t>No</w:t>
            </w:r>
          </w:p>
        </w:tc>
      </w:tr>
      <w:tr w:rsidR="00783F18" w:rsidRPr="00783F18" w14:paraId="269B197C" w14:textId="77777777" w:rsidTr="008001AE">
        <w:tc>
          <w:tcPr>
            <w:tcW w:w="4508" w:type="dxa"/>
          </w:tcPr>
          <w:p w14:paraId="4D98196D"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lastRenderedPageBreak/>
              <w:t>Population-level model summary</w:t>
            </w:r>
            <w:r w:rsidRPr="00783F18">
              <w:rPr>
                <w:rFonts w:ascii="Times New Roman" w:hAnsi="Times New Roman" w:cs="Times New Roman"/>
                <w:sz w:val="24"/>
                <w:szCs w:val="24"/>
              </w:rPr>
              <w:t xml:space="preserve"> (if included)</w:t>
            </w:r>
          </w:p>
        </w:tc>
        <w:tc>
          <w:tcPr>
            <w:tcW w:w="4508" w:type="dxa"/>
          </w:tcPr>
          <w:p w14:paraId="5F143DFE" w14:textId="77777777" w:rsidR="00783F18" w:rsidRPr="00783F18" w:rsidRDefault="00783F18" w:rsidP="008001AE">
            <w:pPr>
              <w:rPr>
                <w:rFonts w:ascii="Times New Roman" w:hAnsi="Times New Roman" w:cs="Times New Roman"/>
                <w:sz w:val="24"/>
                <w:szCs w:val="24"/>
              </w:rPr>
            </w:pPr>
          </w:p>
        </w:tc>
      </w:tr>
      <w:tr w:rsidR="00783F18" w:rsidRPr="00783F18" w14:paraId="7360E466" w14:textId="77777777" w:rsidTr="008001AE">
        <w:tc>
          <w:tcPr>
            <w:tcW w:w="4508" w:type="dxa"/>
          </w:tcPr>
          <w:p w14:paraId="272D6637" w14:textId="740F2F1E"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Adjustment for strata, pooling of data sources, approach for </w:t>
            </w:r>
            <w:r w:rsidR="005E322A">
              <w:rPr>
                <w:rFonts w:ascii="Times New Roman" w:hAnsi="Times New Roman" w:cs="Times New Roman"/>
                <w:sz w:val="24"/>
                <w:szCs w:val="24"/>
              </w:rPr>
              <w:t xml:space="preserve">calculation of the </w:t>
            </w:r>
            <w:r w:rsidRPr="00783F18">
              <w:rPr>
                <w:rFonts w:ascii="Times New Roman" w:hAnsi="Times New Roman" w:cs="Times New Roman"/>
                <w:sz w:val="24"/>
                <w:szCs w:val="24"/>
              </w:rPr>
              <w:t>95%</w:t>
            </w:r>
            <w:r w:rsidR="00E91541">
              <w:rPr>
                <w:rFonts w:ascii="Times New Roman" w:hAnsi="Times New Roman" w:cs="Times New Roman"/>
                <w:sz w:val="24"/>
                <w:szCs w:val="24"/>
              </w:rPr>
              <w:t xml:space="preserve"> CI</w:t>
            </w:r>
            <w:r w:rsidR="005E322A">
              <w:rPr>
                <w:rFonts w:ascii="Times New Roman" w:hAnsi="Times New Roman" w:cs="Times New Roman"/>
                <w:sz w:val="24"/>
                <w:szCs w:val="24"/>
              </w:rPr>
              <w:t>)</w:t>
            </w:r>
          </w:p>
        </w:tc>
        <w:tc>
          <w:tcPr>
            <w:tcW w:w="4508" w:type="dxa"/>
          </w:tcPr>
          <w:p w14:paraId="13B7205A" w14:textId="77777777" w:rsidR="00783F18" w:rsidRPr="00783F18" w:rsidRDefault="00783F18" w:rsidP="008001AE">
            <w:pPr>
              <w:rPr>
                <w:rFonts w:ascii="Times New Roman" w:hAnsi="Times New Roman" w:cs="Times New Roman"/>
                <w:sz w:val="24"/>
                <w:szCs w:val="24"/>
              </w:rPr>
            </w:pPr>
          </w:p>
        </w:tc>
      </w:tr>
      <w:tr w:rsidR="00783F18" w:rsidRPr="00783F18" w14:paraId="61A029E6" w14:textId="77777777" w:rsidTr="008001AE">
        <w:trPr>
          <w:trHeight w:val="305"/>
        </w:trPr>
        <w:tc>
          <w:tcPr>
            <w:tcW w:w="9016" w:type="dxa"/>
            <w:gridSpan w:val="2"/>
            <w:tcBorders>
              <w:left w:val="nil"/>
              <w:bottom w:val="single" w:sz="4" w:space="0" w:color="000000"/>
            </w:tcBorders>
          </w:tcPr>
          <w:p w14:paraId="672716BC" w14:textId="77777777" w:rsidR="00783F18" w:rsidRPr="00783F18" w:rsidRDefault="00783F18" w:rsidP="008001AE">
            <w:pPr>
              <w:rPr>
                <w:rFonts w:ascii="Times New Roman" w:hAnsi="Times New Roman" w:cs="Times New Roman"/>
                <w:b/>
                <w:sz w:val="24"/>
                <w:szCs w:val="24"/>
              </w:rPr>
            </w:pPr>
          </w:p>
        </w:tc>
      </w:tr>
      <w:tr w:rsidR="00783F18" w:rsidRPr="00783F18" w14:paraId="4C9F8E7A" w14:textId="77777777" w:rsidTr="008001AE">
        <w:trPr>
          <w:trHeight w:val="1835"/>
        </w:trPr>
        <w:tc>
          <w:tcPr>
            <w:tcW w:w="9016" w:type="dxa"/>
            <w:gridSpan w:val="2"/>
            <w:tcBorders>
              <w:top w:val="single" w:sz="4" w:space="0" w:color="000000"/>
              <w:left w:val="single" w:sz="4" w:space="0" w:color="000000"/>
              <w:bottom w:val="single" w:sz="4" w:space="0" w:color="000000"/>
              <w:right w:val="single" w:sz="4" w:space="0" w:color="000000"/>
            </w:tcBorders>
          </w:tcPr>
          <w:p w14:paraId="58744335"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Alternative incidence rates (due to varying transmission intensities):</w:t>
            </w:r>
          </w:p>
          <w:p w14:paraId="7F431C3F" w14:textId="3D7873EE"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If the analyses for B-R data are done under the assumption of several different rates by which the pathogen targeted by the vaccine is infecting the vulnerable population, or different rates of transmission for the virus, name and define the alternatives and their underlying assumptions (</w:t>
            </w:r>
            <w:r w:rsidR="002E79EE" w:rsidRPr="00783F18">
              <w:rPr>
                <w:rFonts w:ascii="Times New Roman" w:hAnsi="Times New Roman" w:cs="Times New Roman"/>
                <w:sz w:val="24"/>
                <w:szCs w:val="24"/>
              </w:rPr>
              <w:t>e.g.,</w:t>
            </w:r>
            <w:r w:rsidRPr="00783F18">
              <w:rPr>
                <w:rFonts w:ascii="Times New Roman" w:hAnsi="Times New Roman" w:cs="Times New Roman"/>
                <w:sz w:val="24"/>
                <w:szCs w:val="24"/>
              </w:rPr>
              <w:t xml:space="preserve"> high transmission intensity, based on US hospitalization rate in week of May 1, 2021).  Add rows </w:t>
            </w:r>
            <w:r w:rsidR="00483197">
              <w:rPr>
                <w:rFonts w:ascii="Times New Roman" w:hAnsi="Times New Roman" w:cs="Times New Roman"/>
                <w:sz w:val="24"/>
                <w:szCs w:val="24"/>
              </w:rPr>
              <w:t>as</w:t>
            </w:r>
            <w:r w:rsidR="00483197" w:rsidRPr="00783F18">
              <w:rPr>
                <w:rFonts w:ascii="Times New Roman" w:hAnsi="Times New Roman" w:cs="Times New Roman"/>
                <w:sz w:val="24"/>
                <w:szCs w:val="24"/>
              </w:rPr>
              <w:t xml:space="preserve"> </w:t>
            </w:r>
            <w:r w:rsidRPr="00783F18">
              <w:rPr>
                <w:rFonts w:ascii="Times New Roman" w:hAnsi="Times New Roman" w:cs="Times New Roman"/>
                <w:sz w:val="24"/>
                <w:szCs w:val="24"/>
              </w:rPr>
              <w:t>needed.</w:t>
            </w:r>
          </w:p>
        </w:tc>
      </w:tr>
      <w:tr w:rsidR="00783F18" w:rsidRPr="00783F18" w14:paraId="7DA73640" w14:textId="77777777" w:rsidTr="008001AE">
        <w:trPr>
          <w:trHeight w:val="235"/>
        </w:trPr>
        <w:tc>
          <w:tcPr>
            <w:tcW w:w="9016" w:type="dxa"/>
            <w:gridSpan w:val="2"/>
            <w:tcBorders>
              <w:top w:val="single" w:sz="4" w:space="0" w:color="000000"/>
            </w:tcBorders>
          </w:tcPr>
          <w:p w14:paraId="2029C640"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Transmission rate 1</w:t>
            </w:r>
          </w:p>
        </w:tc>
      </w:tr>
      <w:tr w:rsidR="00783F18" w:rsidRPr="00783F18" w14:paraId="7B3D3069" w14:textId="77777777" w:rsidTr="008001AE">
        <w:trPr>
          <w:trHeight w:val="235"/>
        </w:trPr>
        <w:tc>
          <w:tcPr>
            <w:tcW w:w="4508" w:type="dxa"/>
            <w:tcBorders>
              <w:top w:val="single" w:sz="4" w:space="0" w:color="000000"/>
            </w:tcBorders>
          </w:tcPr>
          <w:p w14:paraId="12D92D83"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Name </w:t>
            </w:r>
          </w:p>
        </w:tc>
        <w:tc>
          <w:tcPr>
            <w:tcW w:w="4508" w:type="dxa"/>
            <w:tcBorders>
              <w:top w:val="single" w:sz="4" w:space="0" w:color="000000"/>
            </w:tcBorders>
          </w:tcPr>
          <w:p w14:paraId="30B3C299" w14:textId="77777777" w:rsidR="00783F18" w:rsidRPr="00783F18" w:rsidRDefault="00783F18" w:rsidP="008001AE">
            <w:pPr>
              <w:rPr>
                <w:rFonts w:ascii="Times New Roman" w:hAnsi="Times New Roman" w:cs="Times New Roman"/>
                <w:sz w:val="24"/>
                <w:szCs w:val="24"/>
              </w:rPr>
            </w:pPr>
          </w:p>
        </w:tc>
      </w:tr>
      <w:tr w:rsidR="00783F18" w:rsidRPr="00783F18" w14:paraId="28D7A4A1" w14:textId="77777777" w:rsidTr="008001AE">
        <w:trPr>
          <w:trHeight w:val="235"/>
        </w:trPr>
        <w:tc>
          <w:tcPr>
            <w:tcW w:w="4508" w:type="dxa"/>
            <w:tcBorders>
              <w:top w:val="single" w:sz="4" w:space="0" w:color="000000"/>
            </w:tcBorders>
          </w:tcPr>
          <w:p w14:paraId="75771B43"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Definition</w:t>
            </w:r>
          </w:p>
        </w:tc>
        <w:tc>
          <w:tcPr>
            <w:tcW w:w="4508" w:type="dxa"/>
            <w:tcBorders>
              <w:top w:val="single" w:sz="4" w:space="0" w:color="000000"/>
            </w:tcBorders>
          </w:tcPr>
          <w:p w14:paraId="755DC190" w14:textId="77777777" w:rsidR="00783F18" w:rsidRPr="00783F18" w:rsidRDefault="00783F18" w:rsidP="008001AE">
            <w:pPr>
              <w:rPr>
                <w:rFonts w:ascii="Times New Roman" w:hAnsi="Times New Roman" w:cs="Times New Roman"/>
                <w:sz w:val="24"/>
                <w:szCs w:val="24"/>
              </w:rPr>
            </w:pPr>
          </w:p>
        </w:tc>
      </w:tr>
      <w:tr w:rsidR="00783F18" w:rsidRPr="00783F18" w14:paraId="136D1C32" w14:textId="77777777" w:rsidTr="008001AE">
        <w:trPr>
          <w:trHeight w:val="235"/>
        </w:trPr>
        <w:tc>
          <w:tcPr>
            <w:tcW w:w="9016" w:type="dxa"/>
            <w:gridSpan w:val="2"/>
            <w:tcBorders>
              <w:top w:val="single" w:sz="4" w:space="0" w:color="000000"/>
            </w:tcBorders>
          </w:tcPr>
          <w:p w14:paraId="73D37CF1"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Transmission rate 2</w:t>
            </w:r>
          </w:p>
        </w:tc>
      </w:tr>
      <w:tr w:rsidR="00783F18" w:rsidRPr="00783F18" w14:paraId="7D98F372" w14:textId="77777777" w:rsidTr="008001AE">
        <w:trPr>
          <w:trHeight w:val="235"/>
        </w:trPr>
        <w:tc>
          <w:tcPr>
            <w:tcW w:w="4508" w:type="dxa"/>
            <w:tcBorders>
              <w:top w:val="single" w:sz="4" w:space="0" w:color="000000"/>
            </w:tcBorders>
          </w:tcPr>
          <w:p w14:paraId="5BDF5A57"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w:t>
            </w:r>
          </w:p>
        </w:tc>
        <w:tc>
          <w:tcPr>
            <w:tcW w:w="4508" w:type="dxa"/>
            <w:tcBorders>
              <w:top w:val="single" w:sz="4" w:space="0" w:color="000000"/>
            </w:tcBorders>
          </w:tcPr>
          <w:p w14:paraId="2299B3F1" w14:textId="77777777" w:rsidR="00783F18" w:rsidRPr="00783F18" w:rsidRDefault="00783F18" w:rsidP="008001AE">
            <w:pPr>
              <w:rPr>
                <w:rFonts w:ascii="Times New Roman" w:hAnsi="Times New Roman" w:cs="Times New Roman"/>
                <w:sz w:val="24"/>
                <w:szCs w:val="24"/>
              </w:rPr>
            </w:pPr>
          </w:p>
        </w:tc>
      </w:tr>
      <w:tr w:rsidR="00783F18" w:rsidRPr="00783F18" w14:paraId="4337B95A" w14:textId="77777777" w:rsidTr="008001AE">
        <w:trPr>
          <w:trHeight w:val="242"/>
        </w:trPr>
        <w:tc>
          <w:tcPr>
            <w:tcW w:w="9016" w:type="dxa"/>
            <w:gridSpan w:val="2"/>
            <w:tcBorders>
              <w:left w:val="nil"/>
              <w:bottom w:val="single" w:sz="4" w:space="0" w:color="000000"/>
            </w:tcBorders>
          </w:tcPr>
          <w:p w14:paraId="6FC066E1" w14:textId="77777777" w:rsidR="00783F18" w:rsidRPr="00783F18" w:rsidRDefault="00783F18" w:rsidP="008001AE">
            <w:pPr>
              <w:rPr>
                <w:rFonts w:ascii="Times New Roman" w:hAnsi="Times New Roman" w:cs="Times New Roman"/>
                <w:sz w:val="24"/>
                <w:szCs w:val="24"/>
              </w:rPr>
            </w:pPr>
          </w:p>
        </w:tc>
      </w:tr>
      <w:tr w:rsidR="00783F18" w:rsidRPr="00783F18" w14:paraId="6EBD2921" w14:textId="77777777" w:rsidTr="008001AE">
        <w:tc>
          <w:tcPr>
            <w:tcW w:w="9016" w:type="dxa"/>
            <w:gridSpan w:val="2"/>
          </w:tcPr>
          <w:p w14:paraId="4BCE9606"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Scenarios of special interest</w:t>
            </w:r>
          </w:p>
          <w:p w14:paraId="4F5E4656" w14:textId="51045916"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Scenarios refer to combinations of assumptions that provide a sensitivity analysis to baseline assumptions (see glossary). </w:t>
            </w:r>
            <w:r w:rsidR="00975EA3">
              <w:rPr>
                <w:rFonts w:ascii="Times New Roman" w:hAnsi="Times New Roman" w:cs="Times New Roman"/>
                <w:sz w:val="24"/>
                <w:szCs w:val="24"/>
              </w:rPr>
              <w:t>They</w:t>
            </w:r>
            <w:r w:rsidR="00975EA3" w:rsidRPr="00783F18">
              <w:rPr>
                <w:rFonts w:ascii="Times New Roman" w:hAnsi="Times New Roman" w:cs="Times New Roman"/>
                <w:sz w:val="24"/>
                <w:szCs w:val="24"/>
              </w:rPr>
              <w:t xml:space="preserve"> </w:t>
            </w:r>
            <w:r w:rsidRPr="00783F18">
              <w:rPr>
                <w:rFonts w:ascii="Times New Roman" w:hAnsi="Times New Roman" w:cs="Times New Roman"/>
                <w:sz w:val="24"/>
                <w:szCs w:val="24"/>
              </w:rPr>
              <w:t>may serve as best-case and worst-case scenarios. For example, a best-case scenario might have 100% reporting rate, 80% vaccine effectiveness and no waning of immunity, and a worst-case scenario might have 25% reporting rate, 60% vaccine effectiveness and immunity reducing to 25% after 6 months (see Glossary).  List each scenario for which B-R assessment is of particular interest and their definition. Add rows as needed.</w:t>
            </w:r>
          </w:p>
        </w:tc>
      </w:tr>
      <w:tr w:rsidR="00783F18" w:rsidRPr="00783F18" w14:paraId="4BAE2034" w14:textId="77777777" w:rsidTr="008001AE">
        <w:trPr>
          <w:trHeight w:val="277"/>
        </w:trPr>
        <w:tc>
          <w:tcPr>
            <w:tcW w:w="9016" w:type="dxa"/>
            <w:gridSpan w:val="2"/>
          </w:tcPr>
          <w:p w14:paraId="69DFD9A9"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Scenario 1</w:t>
            </w:r>
          </w:p>
        </w:tc>
      </w:tr>
      <w:tr w:rsidR="00783F18" w:rsidRPr="00783F18" w14:paraId="110377F5" w14:textId="77777777" w:rsidTr="008001AE">
        <w:trPr>
          <w:trHeight w:val="255"/>
        </w:trPr>
        <w:tc>
          <w:tcPr>
            <w:tcW w:w="4508" w:type="dxa"/>
          </w:tcPr>
          <w:p w14:paraId="721655BC"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Name</w:t>
            </w:r>
          </w:p>
        </w:tc>
        <w:tc>
          <w:tcPr>
            <w:tcW w:w="4508" w:type="dxa"/>
          </w:tcPr>
          <w:p w14:paraId="5DE40E3F" w14:textId="77777777" w:rsidR="00783F18" w:rsidRPr="00783F18" w:rsidRDefault="00783F18" w:rsidP="008001AE">
            <w:pPr>
              <w:rPr>
                <w:rFonts w:ascii="Times New Roman" w:hAnsi="Times New Roman" w:cs="Times New Roman"/>
                <w:sz w:val="24"/>
                <w:szCs w:val="24"/>
              </w:rPr>
            </w:pPr>
          </w:p>
        </w:tc>
      </w:tr>
      <w:tr w:rsidR="00783F18" w:rsidRPr="00783F18" w14:paraId="3E868E17" w14:textId="77777777" w:rsidTr="008001AE">
        <w:trPr>
          <w:trHeight w:val="255"/>
        </w:trPr>
        <w:tc>
          <w:tcPr>
            <w:tcW w:w="4508" w:type="dxa"/>
          </w:tcPr>
          <w:p w14:paraId="4D1DA927"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Definition</w:t>
            </w:r>
          </w:p>
        </w:tc>
        <w:tc>
          <w:tcPr>
            <w:tcW w:w="4508" w:type="dxa"/>
          </w:tcPr>
          <w:p w14:paraId="05EF0B06" w14:textId="77777777" w:rsidR="00783F18" w:rsidRPr="00783F18" w:rsidRDefault="00783F18" w:rsidP="008001AE">
            <w:pPr>
              <w:rPr>
                <w:rFonts w:ascii="Times New Roman" w:hAnsi="Times New Roman" w:cs="Times New Roman"/>
                <w:sz w:val="24"/>
                <w:szCs w:val="24"/>
              </w:rPr>
            </w:pPr>
          </w:p>
        </w:tc>
      </w:tr>
      <w:tr w:rsidR="00783F18" w:rsidRPr="00783F18" w14:paraId="3CC61E32" w14:textId="77777777" w:rsidTr="008001AE">
        <w:trPr>
          <w:trHeight w:val="259"/>
        </w:trPr>
        <w:tc>
          <w:tcPr>
            <w:tcW w:w="9016" w:type="dxa"/>
            <w:gridSpan w:val="2"/>
          </w:tcPr>
          <w:p w14:paraId="4B05E8F0"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Scenario 2</w:t>
            </w:r>
          </w:p>
        </w:tc>
      </w:tr>
      <w:tr w:rsidR="00783F18" w:rsidRPr="00783F18" w14:paraId="21EFCEBB" w14:textId="77777777" w:rsidTr="008001AE">
        <w:trPr>
          <w:trHeight w:val="255"/>
        </w:trPr>
        <w:tc>
          <w:tcPr>
            <w:tcW w:w="4508" w:type="dxa"/>
          </w:tcPr>
          <w:p w14:paraId="17814A4B"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w:t>
            </w:r>
          </w:p>
        </w:tc>
        <w:tc>
          <w:tcPr>
            <w:tcW w:w="4508" w:type="dxa"/>
          </w:tcPr>
          <w:p w14:paraId="560BE8D3" w14:textId="77777777" w:rsidR="00783F18" w:rsidRPr="00783F18" w:rsidRDefault="00783F18" w:rsidP="008001AE">
            <w:pPr>
              <w:rPr>
                <w:rFonts w:ascii="Times New Roman" w:hAnsi="Times New Roman" w:cs="Times New Roman"/>
                <w:sz w:val="24"/>
                <w:szCs w:val="24"/>
              </w:rPr>
            </w:pPr>
          </w:p>
        </w:tc>
      </w:tr>
    </w:tbl>
    <w:p w14:paraId="07DA9AE1" w14:textId="77777777" w:rsidR="00783F18" w:rsidRPr="00783F18" w:rsidRDefault="00783F18" w:rsidP="00783F18">
      <w:pPr>
        <w:rPr>
          <w:rFonts w:ascii="Times New Roman" w:hAnsi="Times New Roman" w:cs="Times New Roman"/>
          <w:b/>
          <w:sz w:val="24"/>
          <w:szCs w:val="24"/>
        </w:rPr>
      </w:pPr>
    </w:p>
    <w:tbl>
      <w:tblPr>
        <w:tblW w:w="8980" w:type="dxa"/>
        <w:tblInd w:w="-1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8980"/>
      </w:tblGrid>
      <w:tr w:rsidR="00783F18" w:rsidRPr="00783F18" w14:paraId="693759E0" w14:textId="77777777" w:rsidTr="008001AE">
        <w:tc>
          <w:tcPr>
            <w:tcW w:w="8980" w:type="dxa"/>
            <w:shd w:val="clear" w:color="auto" w:fill="FFFF99"/>
          </w:tcPr>
          <w:p w14:paraId="68744D07" w14:textId="77777777" w:rsidR="00783F18" w:rsidRPr="00783F18" w:rsidRDefault="00783F18" w:rsidP="008001AE">
            <w:pPr>
              <w:rPr>
                <w:rFonts w:ascii="Times New Roman" w:hAnsi="Times New Roman" w:cs="Times New Roman"/>
                <w:b/>
                <w:sz w:val="24"/>
                <w:szCs w:val="24"/>
              </w:rPr>
            </w:pPr>
          </w:p>
          <w:p w14:paraId="50BBF496"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Section 5: Benefit Data</w:t>
            </w:r>
            <w:r w:rsidRPr="00783F18">
              <w:rPr>
                <w:rFonts w:ascii="Times New Roman" w:hAnsi="Times New Roman" w:cs="Times New Roman"/>
                <w:sz w:val="24"/>
                <w:szCs w:val="24"/>
              </w:rPr>
              <w:t>:</w:t>
            </w:r>
          </w:p>
          <w:p w14:paraId="55A2FFAC" w14:textId="77777777" w:rsidR="00783F18" w:rsidRPr="00783F18" w:rsidRDefault="00783F18" w:rsidP="005A7F99">
            <w:pPr>
              <w:spacing w:after="0" w:line="240" w:lineRule="auto"/>
              <w:rPr>
                <w:rFonts w:ascii="Times New Roman" w:hAnsi="Times New Roman" w:cs="Times New Roman"/>
                <w:sz w:val="24"/>
                <w:szCs w:val="24"/>
              </w:rPr>
            </w:pPr>
          </w:p>
        </w:tc>
      </w:tr>
    </w:tbl>
    <w:p w14:paraId="0B7FD1E7" w14:textId="77777777" w:rsidR="00783F18" w:rsidRPr="00783F18" w:rsidRDefault="00783F18" w:rsidP="00783F18">
      <w:pPr>
        <w:rPr>
          <w:rFonts w:ascii="Times New Roman" w:hAnsi="Times New Roman" w:cs="Times New Roman"/>
          <w:sz w:val="24"/>
          <w:szCs w:val="24"/>
        </w:rPr>
      </w:pPr>
    </w:p>
    <w:p w14:paraId="52FDB141" w14:textId="4F4A05EE"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b/>
          <w:sz w:val="24"/>
          <w:szCs w:val="24"/>
        </w:rPr>
        <w:t>For each benefit listed in the value tree (Section 2)</w:t>
      </w:r>
      <w:r w:rsidRPr="00783F18">
        <w:rPr>
          <w:rFonts w:ascii="Times New Roman" w:hAnsi="Times New Roman" w:cs="Times New Roman"/>
          <w:sz w:val="24"/>
          <w:szCs w:val="24"/>
        </w:rPr>
        <w:t>, provide the clinical or observational data to be used in the B-R assessment, including number of cases per 1,000,000 individuals vaccinated with the vaccine of interest, number of cases per 1,000,000 individuals on the comparator, number of cases caused or prevented by the vaccine of interest vs. comparator per 1,000,000 individuals, and assessment of strengths and uncertainties of evidence. If they can be calculated and are relevant to the B-R assessment, 95% confidence intervals for the number of cases caused or prevented can be included as a reflection of statistical uncertainty. Column headings can be changed as needed to reflect the type of data entered. Number needed to vaccinate (NNV) can optionally be included.</w:t>
      </w:r>
    </w:p>
    <w:p w14:paraId="509CE7AF" w14:textId="65D25C91" w:rsidR="00783F18" w:rsidRPr="00783F18" w:rsidRDefault="00783F18" w:rsidP="00362430">
      <w:pPr>
        <w:spacing w:line="480" w:lineRule="auto"/>
        <w:ind w:firstLine="720"/>
        <w:rPr>
          <w:rFonts w:ascii="Times New Roman" w:hAnsi="Times New Roman" w:cs="Times New Roman"/>
          <w:sz w:val="24"/>
          <w:szCs w:val="24"/>
        </w:rPr>
      </w:pPr>
      <w:bookmarkStart w:id="6" w:name="_heading=h.1fob9te" w:colFirst="0" w:colLast="0"/>
      <w:bookmarkEnd w:id="6"/>
      <w:r w:rsidRPr="00783F18">
        <w:rPr>
          <w:rFonts w:ascii="Times New Roman" w:hAnsi="Times New Roman" w:cs="Times New Roman"/>
          <w:sz w:val="24"/>
          <w:szCs w:val="24"/>
        </w:rPr>
        <w:t>If multiple comparators, infection/transmission rates, subgroups or scenarios were listed above, separate versions of the table can be completed for those endpoints affected. These separate tables can be omitted initially and completed as more data becomes available. The titles for the tables can omit the comparator, subgroup, transmission rate and/or scenario if there are no alternatives for each.</w:t>
      </w:r>
      <w:bookmarkStart w:id="7" w:name="_heading=h.gjdgxs" w:colFirst="0" w:colLast="0"/>
      <w:bookmarkEnd w:id="7"/>
    </w:p>
    <w:p w14:paraId="2E70F9D8" w14:textId="4570031B"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The Notes, Uncertainty and Strength of Evidence can optionally be used to provide additional points relevant to the data provided in that row. For example, the clinical impact of the hospitalizations (</w:t>
      </w:r>
      <w:r w:rsidR="002E79EE" w:rsidRPr="00783F18">
        <w:rPr>
          <w:rFonts w:ascii="Times New Roman" w:hAnsi="Times New Roman" w:cs="Times New Roman"/>
          <w:sz w:val="24"/>
          <w:szCs w:val="24"/>
        </w:rPr>
        <w:t>e.g.,</w:t>
      </w:r>
      <w:r w:rsidRPr="00783F18">
        <w:rPr>
          <w:rFonts w:ascii="Times New Roman" w:hAnsi="Times New Roman" w:cs="Times New Roman"/>
          <w:sz w:val="24"/>
          <w:szCs w:val="24"/>
        </w:rPr>
        <w:t xml:space="preserve"> median days in ICU) and whether the events are reversible or predictable. These notes can reference the Statistical Methods section for relevant technical details.</w:t>
      </w:r>
    </w:p>
    <w:p w14:paraId="54AF54C5" w14:textId="1158ED6D" w:rsidR="00783F18" w:rsidRPr="00783F18" w:rsidRDefault="00783F18" w:rsidP="00362430">
      <w:pPr>
        <w:spacing w:line="480" w:lineRule="auto"/>
        <w:ind w:firstLine="720"/>
        <w:rPr>
          <w:rFonts w:ascii="Times New Roman" w:eastAsia="Arial" w:hAnsi="Times New Roman" w:cs="Times New Roman"/>
          <w:b/>
          <w:color w:val="0000FF"/>
          <w:sz w:val="24"/>
          <w:szCs w:val="24"/>
          <w:highlight w:val="yellow"/>
        </w:rPr>
        <w:sectPr w:rsidR="00783F18" w:rsidRPr="00783F18">
          <w:footerReference w:type="default" r:id="rId16"/>
          <w:pgSz w:w="11906" w:h="16838"/>
          <w:pgMar w:top="1440" w:right="1440" w:bottom="1440" w:left="1440" w:header="708" w:footer="708" w:gutter="0"/>
          <w:pgNumType w:start="1"/>
          <w:cols w:space="720"/>
        </w:sectPr>
      </w:pPr>
      <w:r w:rsidRPr="00783F18">
        <w:rPr>
          <w:rFonts w:ascii="Times New Roman" w:hAnsi="Times New Roman" w:cs="Times New Roman"/>
          <w:sz w:val="24"/>
          <w:szCs w:val="24"/>
        </w:rPr>
        <w:t>While this module does not explicitly support the modelling and simulation needed for population-level B-R, information on population-level benefits and risks could be described below and supported with a supplemental report. These may include indirect benefits such as herd immunity, avoiding social and economic disruption (</w:t>
      </w:r>
      <w:r w:rsidR="00DE7336">
        <w:rPr>
          <w:rFonts w:ascii="Times New Roman" w:hAnsi="Times New Roman" w:cs="Times New Roman"/>
          <w:sz w:val="24"/>
          <w:szCs w:val="24"/>
        </w:rPr>
        <w:t xml:space="preserve">e.g., </w:t>
      </w:r>
      <w:r w:rsidRPr="00783F18">
        <w:rPr>
          <w:rFonts w:ascii="Times New Roman" w:hAnsi="Times New Roman" w:cs="Times New Roman"/>
          <w:sz w:val="24"/>
          <w:szCs w:val="24"/>
        </w:rPr>
        <w:t xml:space="preserve">school </w:t>
      </w:r>
      <w:r w:rsidRPr="00783F18">
        <w:rPr>
          <w:rFonts w:ascii="Times New Roman" w:hAnsi="Times New Roman" w:cs="Times New Roman"/>
          <w:sz w:val="24"/>
          <w:szCs w:val="24"/>
        </w:rPr>
        <w:lastRenderedPageBreak/>
        <w:t>closure, workday lost</w:t>
      </w:r>
      <w:r w:rsidR="00DE7336">
        <w:rPr>
          <w:rFonts w:ascii="Times New Roman" w:hAnsi="Times New Roman" w:cs="Times New Roman"/>
          <w:sz w:val="24"/>
          <w:szCs w:val="24"/>
        </w:rPr>
        <w:t>)</w:t>
      </w:r>
      <w:r w:rsidRPr="00783F18">
        <w:rPr>
          <w:rFonts w:ascii="Times New Roman" w:hAnsi="Times New Roman" w:cs="Times New Roman"/>
          <w:sz w:val="24"/>
          <w:szCs w:val="24"/>
        </w:rPr>
        <w:t>, isolation, reduced physical activity, weight gain, accrual of social disadvantages because of school closures, and poor outcomes for other diseases not treated because of the health system overload (e.g., delayed screening or surgeries).</w:t>
      </w:r>
    </w:p>
    <w:p w14:paraId="6553E74D" w14:textId="77777777" w:rsidR="00783F18" w:rsidRPr="00783F18" w:rsidRDefault="00783F18" w:rsidP="00783F18">
      <w:pPr>
        <w:rPr>
          <w:rFonts w:ascii="Times New Roman" w:hAnsi="Times New Roman" w:cs="Times New Roman"/>
          <w:sz w:val="24"/>
          <w:szCs w:val="24"/>
        </w:rPr>
      </w:pPr>
      <w:r w:rsidRPr="00783F18">
        <w:rPr>
          <w:rFonts w:ascii="Times New Roman" w:hAnsi="Times New Roman" w:cs="Times New Roman"/>
          <w:sz w:val="24"/>
          <w:szCs w:val="24"/>
        </w:rPr>
        <w:lastRenderedPageBreak/>
        <w:t xml:space="preserve">This table should be completed for each combination of comparator, infection/transmission rate, subgroup, and </w:t>
      </w:r>
      <w:proofErr w:type="gramStart"/>
      <w:r w:rsidRPr="00783F18">
        <w:rPr>
          <w:rFonts w:ascii="Times New Roman" w:hAnsi="Times New Roman" w:cs="Times New Roman"/>
          <w:sz w:val="24"/>
          <w:szCs w:val="24"/>
        </w:rPr>
        <w:t>scenario</w:t>
      </w:r>
      <w:proofErr w:type="gramEnd"/>
    </w:p>
    <w:p w14:paraId="5EDD57BA" w14:textId="77777777" w:rsidR="00783F18" w:rsidRPr="00783F18" w:rsidRDefault="00783F18" w:rsidP="00783F18">
      <w:pPr>
        <w:rPr>
          <w:rFonts w:ascii="Times New Roman" w:hAnsi="Times New Roman" w:cs="Times New Roman"/>
          <w:b/>
          <w:sz w:val="24"/>
          <w:szCs w:val="24"/>
        </w:rPr>
      </w:pPr>
    </w:p>
    <w:p w14:paraId="6C7B63D8" w14:textId="5E049C7C" w:rsidR="00783F18" w:rsidRPr="00783F18" w:rsidRDefault="00783F18" w:rsidP="00783F18">
      <w:pPr>
        <w:rPr>
          <w:rFonts w:ascii="Times New Roman" w:hAnsi="Times New Roman" w:cs="Times New Roman"/>
          <w:b/>
          <w:sz w:val="24"/>
          <w:szCs w:val="24"/>
        </w:rPr>
      </w:pPr>
      <w:r w:rsidRPr="00783F18">
        <w:rPr>
          <w:rFonts w:ascii="Times New Roman" w:hAnsi="Times New Roman" w:cs="Times New Roman"/>
          <w:b/>
          <w:sz w:val="24"/>
          <w:szCs w:val="24"/>
        </w:rPr>
        <w:t>Table 1 Benefits</w:t>
      </w:r>
      <w:r w:rsidR="002A0E6C">
        <w:rPr>
          <w:rFonts w:ascii="Times New Roman" w:hAnsi="Times New Roman" w:cs="Times New Roman"/>
          <w:b/>
          <w:sz w:val="24"/>
          <w:szCs w:val="24"/>
        </w:rPr>
        <w:t xml:space="preserve"> for first set of </w:t>
      </w:r>
      <w:proofErr w:type="gramStart"/>
      <w:r w:rsidR="002A0E6C">
        <w:rPr>
          <w:rFonts w:ascii="Times New Roman" w:hAnsi="Times New Roman" w:cs="Times New Roman"/>
          <w:b/>
          <w:sz w:val="24"/>
          <w:szCs w:val="24"/>
        </w:rPr>
        <w:t>comparator</w:t>
      </w:r>
      <w:proofErr w:type="gramEnd"/>
      <w:r w:rsidR="002A0E6C">
        <w:rPr>
          <w:rFonts w:ascii="Times New Roman" w:hAnsi="Times New Roman" w:cs="Times New Roman"/>
          <w:b/>
          <w:sz w:val="24"/>
          <w:szCs w:val="24"/>
        </w:rPr>
        <w:t>, subgroup, transmission rate and scenario</w:t>
      </w:r>
    </w:p>
    <w:tbl>
      <w:tblPr>
        <w:tblW w:w="118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0"/>
        <w:gridCol w:w="1350"/>
        <w:gridCol w:w="1683"/>
        <w:gridCol w:w="1377"/>
        <w:gridCol w:w="1260"/>
        <w:gridCol w:w="1260"/>
        <w:gridCol w:w="1020"/>
        <w:gridCol w:w="2670"/>
      </w:tblGrid>
      <w:tr w:rsidR="00783F18" w:rsidRPr="00783F18" w14:paraId="3F07C56F" w14:textId="77777777" w:rsidTr="008001AE">
        <w:trPr>
          <w:trHeight w:val="460"/>
        </w:trPr>
        <w:tc>
          <w:tcPr>
            <w:tcW w:w="1250" w:type="dxa"/>
            <w:shd w:val="clear" w:color="auto" w:fill="auto"/>
            <w:tcMar>
              <w:top w:w="100" w:type="dxa"/>
              <w:left w:w="100" w:type="dxa"/>
              <w:bottom w:w="100" w:type="dxa"/>
              <w:right w:w="100" w:type="dxa"/>
            </w:tcMar>
          </w:tcPr>
          <w:p w14:paraId="54B2372D"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c>
          <w:tcPr>
            <w:tcW w:w="7950" w:type="dxa"/>
            <w:gridSpan w:val="6"/>
            <w:shd w:val="clear" w:color="auto" w:fill="auto"/>
            <w:tcMar>
              <w:top w:w="100" w:type="dxa"/>
              <w:left w:w="100" w:type="dxa"/>
              <w:bottom w:w="100" w:type="dxa"/>
              <w:right w:w="100" w:type="dxa"/>
            </w:tcMar>
          </w:tcPr>
          <w:p w14:paraId="53FB8DCA"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r w:rsidRPr="00783F18">
              <w:rPr>
                <w:rFonts w:ascii="Times New Roman" w:hAnsi="Times New Roman" w:cs="Times New Roman"/>
                <w:b/>
                <w:sz w:val="24"/>
                <w:szCs w:val="24"/>
              </w:rPr>
              <w:t>Proportion or Rate (/1,000,000)</w:t>
            </w:r>
          </w:p>
        </w:tc>
        <w:tc>
          <w:tcPr>
            <w:tcW w:w="2670" w:type="dxa"/>
            <w:shd w:val="clear" w:color="auto" w:fill="auto"/>
            <w:tcMar>
              <w:top w:w="100" w:type="dxa"/>
              <w:left w:w="100" w:type="dxa"/>
              <w:bottom w:w="100" w:type="dxa"/>
              <w:right w:w="100" w:type="dxa"/>
            </w:tcMar>
          </w:tcPr>
          <w:p w14:paraId="747B736B"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r>
      <w:tr w:rsidR="00783F18" w:rsidRPr="00783F18" w14:paraId="06FF901E" w14:textId="77777777" w:rsidTr="008001AE">
        <w:tc>
          <w:tcPr>
            <w:tcW w:w="1250" w:type="dxa"/>
            <w:shd w:val="clear" w:color="auto" w:fill="auto"/>
            <w:tcMar>
              <w:top w:w="100" w:type="dxa"/>
              <w:left w:w="100" w:type="dxa"/>
              <w:bottom w:w="100" w:type="dxa"/>
              <w:right w:w="100" w:type="dxa"/>
            </w:tcMar>
          </w:tcPr>
          <w:p w14:paraId="282E0D04"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Endpoint</w:t>
            </w:r>
          </w:p>
        </w:tc>
        <w:tc>
          <w:tcPr>
            <w:tcW w:w="1350" w:type="dxa"/>
            <w:shd w:val="clear" w:color="auto" w:fill="auto"/>
            <w:tcMar>
              <w:top w:w="100" w:type="dxa"/>
              <w:left w:w="100" w:type="dxa"/>
              <w:bottom w:w="100" w:type="dxa"/>
              <w:right w:w="100" w:type="dxa"/>
            </w:tcMar>
          </w:tcPr>
          <w:p w14:paraId="09B61631"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Vaccine of interest</w:t>
            </w:r>
          </w:p>
        </w:tc>
        <w:tc>
          <w:tcPr>
            <w:tcW w:w="1683" w:type="dxa"/>
            <w:shd w:val="clear" w:color="auto" w:fill="auto"/>
            <w:tcMar>
              <w:top w:w="100" w:type="dxa"/>
              <w:left w:w="100" w:type="dxa"/>
              <w:bottom w:w="100" w:type="dxa"/>
              <w:right w:w="100" w:type="dxa"/>
            </w:tcMar>
          </w:tcPr>
          <w:p w14:paraId="297E1112"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Comparator</w:t>
            </w:r>
            <w:r w:rsidRPr="00783F18">
              <w:rPr>
                <w:rFonts w:ascii="Times New Roman" w:hAnsi="Times New Roman" w:cs="Times New Roman"/>
                <w:b/>
                <w:sz w:val="24"/>
                <w:szCs w:val="24"/>
              </w:rPr>
              <w:br/>
            </w:r>
          </w:p>
        </w:tc>
        <w:tc>
          <w:tcPr>
            <w:tcW w:w="1377" w:type="dxa"/>
            <w:shd w:val="clear" w:color="auto" w:fill="auto"/>
            <w:tcMar>
              <w:top w:w="100" w:type="dxa"/>
              <w:left w:w="100" w:type="dxa"/>
              <w:bottom w:w="100" w:type="dxa"/>
              <w:right w:w="100" w:type="dxa"/>
            </w:tcMar>
          </w:tcPr>
          <w:p w14:paraId="6461AD03"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Cases prevented</w:t>
            </w:r>
          </w:p>
        </w:tc>
        <w:tc>
          <w:tcPr>
            <w:tcW w:w="1260" w:type="dxa"/>
            <w:shd w:val="clear" w:color="auto" w:fill="auto"/>
            <w:tcMar>
              <w:top w:w="100" w:type="dxa"/>
              <w:left w:w="100" w:type="dxa"/>
              <w:bottom w:w="100" w:type="dxa"/>
              <w:right w:w="100" w:type="dxa"/>
            </w:tcMar>
          </w:tcPr>
          <w:p w14:paraId="12374541" w14:textId="058F75A2"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 xml:space="preserve">95% CI </w:t>
            </w:r>
            <w:r w:rsidR="00EC5255">
              <w:rPr>
                <w:rFonts w:ascii="Times New Roman" w:hAnsi="Times New Roman" w:cs="Times New Roman"/>
                <w:b/>
                <w:sz w:val="24"/>
                <w:szCs w:val="24"/>
              </w:rPr>
              <w:t>lower limit</w:t>
            </w:r>
          </w:p>
        </w:tc>
        <w:tc>
          <w:tcPr>
            <w:tcW w:w="1260" w:type="dxa"/>
            <w:shd w:val="clear" w:color="auto" w:fill="auto"/>
            <w:tcMar>
              <w:top w:w="100" w:type="dxa"/>
              <w:left w:w="100" w:type="dxa"/>
              <w:bottom w:w="100" w:type="dxa"/>
              <w:right w:w="100" w:type="dxa"/>
            </w:tcMar>
          </w:tcPr>
          <w:p w14:paraId="6D687712" w14:textId="6BA07255"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 xml:space="preserve">95% CI </w:t>
            </w:r>
            <w:r w:rsidR="00EC5255">
              <w:rPr>
                <w:rFonts w:ascii="Times New Roman" w:hAnsi="Times New Roman" w:cs="Times New Roman"/>
                <w:b/>
                <w:sz w:val="24"/>
                <w:szCs w:val="24"/>
              </w:rPr>
              <w:t>upper limit</w:t>
            </w:r>
          </w:p>
        </w:tc>
        <w:tc>
          <w:tcPr>
            <w:tcW w:w="1020" w:type="dxa"/>
            <w:shd w:val="clear" w:color="auto" w:fill="auto"/>
            <w:tcMar>
              <w:top w:w="100" w:type="dxa"/>
              <w:left w:w="100" w:type="dxa"/>
              <w:bottom w:w="100" w:type="dxa"/>
              <w:right w:w="100" w:type="dxa"/>
            </w:tcMar>
          </w:tcPr>
          <w:p w14:paraId="5BACF109"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NNV*</w:t>
            </w:r>
          </w:p>
        </w:tc>
        <w:tc>
          <w:tcPr>
            <w:tcW w:w="2670" w:type="dxa"/>
            <w:shd w:val="clear" w:color="auto" w:fill="auto"/>
            <w:tcMar>
              <w:top w:w="100" w:type="dxa"/>
              <w:left w:w="100" w:type="dxa"/>
              <w:bottom w:w="100" w:type="dxa"/>
              <w:right w:w="100" w:type="dxa"/>
            </w:tcMar>
          </w:tcPr>
          <w:p w14:paraId="14A7DE15"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Notes, Uncertainty and Strength of Evidence</w:t>
            </w:r>
          </w:p>
        </w:tc>
      </w:tr>
      <w:tr w:rsidR="00783F18" w:rsidRPr="00783F18" w14:paraId="573976DF" w14:textId="77777777" w:rsidTr="008001AE">
        <w:tc>
          <w:tcPr>
            <w:tcW w:w="1250" w:type="dxa"/>
            <w:shd w:val="clear" w:color="auto" w:fill="auto"/>
            <w:tcMar>
              <w:top w:w="100" w:type="dxa"/>
              <w:left w:w="100" w:type="dxa"/>
              <w:bottom w:w="100" w:type="dxa"/>
              <w:right w:w="100" w:type="dxa"/>
            </w:tcMar>
          </w:tcPr>
          <w:p w14:paraId="15488320"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c>
          <w:tcPr>
            <w:tcW w:w="1350" w:type="dxa"/>
            <w:shd w:val="clear" w:color="auto" w:fill="auto"/>
            <w:tcMar>
              <w:top w:w="100" w:type="dxa"/>
              <w:left w:w="100" w:type="dxa"/>
              <w:bottom w:w="100" w:type="dxa"/>
              <w:right w:w="100" w:type="dxa"/>
            </w:tcMar>
          </w:tcPr>
          <w:p w14:paraId="19DB2D42"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683" w:type="dxa"/>
            <w:shd w:val="clear" w:color="auto" w:fill="auto"/>
            <w:tcMar>
              <w:top w:w="100" w:type="dxa"/>
              <w:left w:w="100" w:type="dxa"/>
              <w:bottom w:w="100" w:type="dxa"/>
              <w:right w:w="100" w:type="dxa"/>
            </w:tcMar>
          </w:tcPr>
          <w:p w14:paraId="0863ED29"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377" w:type="dxa"/>
            <w:shd w:val="clear" w:color="auto" w:fill="auto"/>
            <w:tcMar>
              <w:top w:w="100" w:type="dxa"/>
              <w:left w:w="100" w:type="dxa"/>
              <w:bottom w:w="100" w:type="dxa"/>
              <w:right w:w="100" w:type="dxa"/>
            </w:tcMar>
          </w:tcPr>
          <w:p w14:paraId="7C8DE980"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6B43C8C3"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2279C505"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020" w:type="dxa"/>
            <w:shd w:val="clear" w:color="auto" w:fill="auto"/>
            <w:tcMar>
              <w:top w:w="100" w:type="dxa"/>
              <w:left w:w="100" w:type="dxa"/>
              <w:bottom w:w="100" w:type="dxa"/>
              <w:right w:w="100" w:type="dxa"/>
            </w:tcMar>
          </w:tcPr>
          <w:p w14:paraId="3488251D"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2670" w:type="dxa"/>
            <w:shd w:val="clear" w:color="auto" w:fill="auto"/>
            <w:tcMar>
              <w:top w:w="100" w:type="dxa"/>
              <w:left w:w="100" w:type="dxa"/>
              <w:bottom w:w="100" w:type="dxa"/>
              <w:right w:w="100" w:type="dxa"/>
            </w:tcMar>
          </w:tcPr>
          <w:p w14:paraId="66048A45"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r>
      <w:tr w:rsidR="00783F18" w:rsidRPr="00783F18" w14:paraId="706CF427" w14:textId="77777777" w:rsidTr="008001AE">
        <w:tc>
          <w:tcPr>
            <w:tcW w:w="1250" w:type="dxa"/>
            <w:shd w:val="clear" w:color="auto" w:fill="auto"/>
            <w:tcMar>
              <w:top w:w="100" w:type="dxa"/>
              <w:left w:w="100" w:type="dxa"/>
              <w:bottom w:w="100" w:type="dxa"/>
              <w:right w:w="100" w:type="dxa"/>
            </w:tcMar>
          </w:tcPr>
          <w:p w14:paraId="529221E0"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c>
          <w:tcPr>
            <w:tcW w:w="1350" w:type="dxa"/>
            <w:shd w:val="clear" w:color="auto" w:fill="auto"/>
            <w:tcMar>
              <w:top w:w="100" w:type="dxa"/>
              <w:left w:w="100" w:type="dxa"/>
              <w:bottom w:w="100" w:type="dxa"/>
              <w:right w:w="100" w:type="dxa"/>
            </w:tcMar>
          </w:tcPr>
          <w:p w14:paraId="4B2A788C"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683" w:type="dxa"/>
            <w:shd w:val="clear" w:color="auto" w:fill="auto"/>
            <w:tcMar>
              <w:top w:w="100" w:type="dxa"/>
              <w:left w:w="100" w:type="dxa"/>
              <w:bottom w:w="100" w:type="dxa"/>
              <w:right w:w="100" w:type="dxa"/>
            </w:tcMar>
          </w:tcPr>
          <w:p w14:paraId="375F7B76"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377" w:type="dxa"/>
            <w:shd w:val="clear" w:color="auto" w:fill="auto"/>
            <w:tcMar>
              <w:top w:w="100" w:type="dxa"/>
              <w:left w:w="100" w:type="dxa"/>
              <w:bottom w:w="100" w:type="dxa"/>
              <w:right w:w="100" w:type="dxa"/>
            </w:tcMar>
          </w:tcPr>
          <w:p w14:paraId="65102738"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37BD88E1"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7D38EB0A"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020" w:type="dxa"/>
            <w:shd w:val="clear" w:color="auto" w:fill="auto"/>
            <w:tcMar>
              <w:top w:w="100" w:type="dxa"/>
              <w:left w:w="100" w:type="dxa"/>
              <w:bottom w:w="100" w:type="dxa"/>
              <w:right w:w="100" w:type="dxa"/>
            </w:tcMar>
          </w:tcPr>
          <w:p w14:paraId="0B9DCD88"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2670" w:type="dxa"/>
            <w:shd w:val="clear" w:color="auto" w:fill="auto"/>
            <w:tcMar>
              <w:top w:w="100" w:type="dxa"/>
              <w:left w:w="100" w:type="dxa"/>
              <w:bottom w:w="100" w:type="dxa"/>
              <w:right w:w="100" w:type="dxa"/>
            </w:tcMar>
          </w:tcPr>
          <w:p w14:paraId="3FE2874A"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r>
    </w:tbl>
    <w:p w14:paraId="1EDF66F1" w14:textId="77777777" w:rsidR="00783F18" w:rsidRPr="00783F18" w:rsidRDefault="00783F18" w:rsidP="00783F18">
      <w:pPr>
        <w:rPr>
          <w:rFonts w:ascii="Times New Roman" w:hAnsi="Times New Roman" w:cs="Times New Roman"/>
          <w:sz w:val="24"/>
          <w:szCs w:val="24"/>
        </w:rPr>
      </w:pPr>
      <w:r w:rsidRPr="00783F18">
        <w:rPr>
          <w:rFonts w:ascii="Times New Roman" w:hAnsi="Times New Roman" w:cs="Times New Roman"/>
          <w:sz w:val="24"/>
          <w:szCs w:val="24"/>
        </w:rPr>
        <w:t>*NNV = number needed to vaccinate</w:t>
      </w:r>
    </w:p>
    <w:p w14:paraId="7B7CFF3E" w14:textId="77777777" w:rsidR="00783F18" w:rsidRPr="00783F18" w:rsidRDefault="00783F18" w:rsidP="00783F18">
      <w:pPr>
        <w:rPr>
          <w:rFonts w:ascii="Times New Roman" w:hAnsi="Times New Roman" w:cs="Times New Roman"/>
          <w:sz w:val="24"/>
          <w:szCs w:val="24"/>
        </w:rPr>
      </w:pPr>
      <w:r w:rsidRPr="00783F18">
        <w:rPr>
          <w:rFonts w:ascii="Times New Roman" w:hAnsi="Times New Roman" w:cs="Times New Roman"/>
          <w:sz w:val="24"/>
          <w:szCs w:val="24"/>
        </w:rPr>
        <w:t>Transmission rate definition, Scenario definition</w:t>
      </w:r>
    </w:p>
    <w:p w14:paraId="0558E99C" w14:textId="77777777" w:rsidR="00783F18" w:rsidRPr="00783F18" w:rsidRDefault="00783F18" w:rsidP="00783F18">
      <w:pPr>
        <w:rPr>
          <w:rFonts w:ascii="Times New Roman" w:hAnsi="Times New Roman" w:cs="Times New Roman"/>
          <w:b/>
          <w:sz w:val="24"/>
          <w:szCs w:val="24"/>
        </w:rPr>
      </w:pPr>
    </w:p>
    <w:p w14:paraId="54FDEFD4" w14:textId="63FE9B86" w:rsidR="002A0E6C" w:rsidRPr="00783F18" w:rsidRDefault="00783F18" w:rsidP="002A0E6C">
      <w:pPr>
        <w:rPr>
          <w:rFonts w:ascii="Times New Roman" w:hAnsi="Times New Roman" w:cs="Times New Roman"/>
          <w:b/>
          <w:sz w:val="24"/>
          <w:szCs w:val="24"/>
        </w:rPr>
      </w:pPr>
      <w:r w:rsidRPr="00783F18">
        <w:rPr>
          <w:rFonts w:ascii="Times New Roman" w:hAnsi="Times New Roman" w:cs="Times New Roman"/>
          <w:b/>
          <w:sz w:val="24"/>
          <w:szCs w:val="24"/>
        </w:rPr>
        <w:t xml:space="preserve">Table 2 Benefits </w:t>
      </w:r>
      <w:r w:rsidR="002A0E6C">
        <w:rPr>
          <w:rFonts w:ascii="Times New Roman" w:hAnsi="Times New Roman" w:cs="Times New Roman"/>
          <w:b/>
          <w:sz w:val="24"/>
          <w:szCs w:val="24"/>
        </w:rPr>
        <w:t>for second</w:t>
      </w:r>
      <w:r w:rsidR="002A0E6C">
        <w:rPr>
          <w:rFonts w:ascii="Times New Roman" w:hAnsi="Times New Roman" w:cs="Times New Roman"/>
          <w:b/>
          <w:sz w:val="24"/>
          <w:szCs w:val="24"/>
        </w:rPr>
        <w:t xml:space="preserve"> set of </w:t>
      </w:r>
      <w:proofErr w:type="gramStart"/>
      <w:r w:rsidR="002A0E6C">
        <w:rPr>
          <w:rFonts w:ascii="Times New Roman" w:hAnsi="Times New Roman" w:cs="Times New Roman"/>
          <w:b/>
          <w:sz w:val="24"/>
          <w:szCs w:val="24"/>
        </w:rPr>
        <w:t>comparator</w:t>
      </w:r>
      <w:proofErr w:type="gramEnd"/>
      <w:r w:rsidR="002A0E6C">
        <w:rPr>
          <w:rFonts w:ascii="Times New Roman" w:hAnsi="Times New Roman" w:cs="Times New Roman"/>
          <w:b/>
          <w:sz w:val="24"/>
          <w:szCs w:val="24"/>
        </w:rPr>
        <w:t>, subgroup, transmission rate and scenario</w:t>
      </w:r>
    </w:p>
    <w:tbl>
      <w:tblPr>
        <w:tblW w:w="118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0"/>
        <w:gridCol w:w="1350"/>
        <w:gridCol w:w="1710"/>
        <w:gridCol w:w="1350"/>
        <w:gridCol w:w="1260"/>
        <w:gridCol w:w="1260"/>
        <w:gridCol w:w="900"/>
        <w:gridCol w:w="2790"/>
      </w:tblGrid>
      <w:tr w:rsidR="00783F18" w:rsidRPr="00783F18" w14:paraId="5FBB2237" w14:textId="77777777" w:rsidTr="008001AE">
        <w:trPr>
          <w:trHeight w:val="330"/>
        </w:trPr>
        <w:tc>
          <w:tcPr>
            <w:tcW w:w="1250" w:type="dxa"/>
            <w:shd w:val="clear" w:color="auto" w:fill="auto"/>
            <w:tcMar>
              <w:top w:w="100" w:type="dxa"/>
              <w:left w:w="100" w:type="dxa"/>
              <w:bottom w:w="100" w:type="dxa"/>
              <w:right w:w="100" w:type="dxa"/>
            </w:tcMar>
          </w:tcPr>
          <w:p w14:paraId="7ECEC5EC"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c>
          <w:tcPr>
            <w:tcW w:w="7830" w:type="dxa"/>
            <w:gridSpan w:val="6"/>
            <w:shd w:val="clear" w:color="auto" w:fill="auto"/>
            <w:tcMar>
              <w:top w:w="100" w:type="dxa"/>
              <w:left w:w="100" w:type="dxa"/>
              <w:bottom w:w="100" w:type="dxa"/>
              <w:right w:w="100" w:type="dxa"/>
            </w:tcMar>
          </w:tcPr>
          <w:p w14:paraId="5D8BF514"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r w:rsidRPr="00783F18">
              <w:rPr>
                <w:rFonts w:ascii="Times New Roman" w:hAnsi="Times New Roman" w:cs="Times New Roman"/>
                <w:b/>
                <w:sz w:val="24"/>
                <w:szCs w:val="24"/>
              </w:rPr>
              <w:t>Proportion or Rate (/1,000,000)</w:t>
            </w:r>
          </w:p>
        </w:tc>
        <w:tc>
          <w:tcPr>
            <w:tcW w:w="2790" w:type="dxa"/>
            <w:shd w:val="clear" w:color="auto" w:fill="auto"/>
            <w:tcMar>
              <w:top w:w="100" w:type="dxa"/>
              <w:left w:w="100" w:type="dxa"/>
              <w:bottom w:w="100" w:type="dxa"/>
              <w:right w:w="100" w:type="dxa"/>
            </w:tcMar>
          </w:tcPr>
          <w:p w14:paraId="5D45F454"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r>
      <w:tr w:rsidR="00783F18" w:rsidRPr="00783F18" w14:paraId="518D110F" w14:textId="77777777" w:rsidTr="008001AE">
        <w:tc>
          <w:tcPr>
            <w:tcW w:w="1250" w:type="dxa"/>
            <w:shd w:val="clear" w:color="auto" w:fill="auto"/>
            <w:tcMar>
              <w:top w:w="100" w:type="dxa"/>
              <w:left w:w="100" w:type="dxa"/>
              <w:bottom w:w="100" w:type="dxa"/>
              <w:right w:w="100" w:type="dxa"/>
            </w:tcMar>
          </w:tcPr>
          <w:p w14:paraId="291C80CF"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Endpoint</w:t>
            </w:r>
          </w:p>
        </w:tc>
        <w:tc>
          <w:tcPr>
            <w:tcW w:w="1350" w:type="dxa"/>
            <w:shd w:val="clear" w:color="auto" w:fill="auto"/>
            <w:tcMar>
              <w:top w:w="100" w:type="dxa"/>
              <w:left w:w="100" w:type="dxa"/>
              <w:bottom w:w="100" w:type="dxa"/>
              <w:right w:w="100" w:type="dxa"/>
            </w:tcMar>
          </w:tcPr>
          <w:p w14:paraId="45863D19"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Vaccine of interest</w:t>
            </w:r>
          </w:p>
        </w:tc>
        <w:tc>
          <w:tcPr>
            <w:tcW w:w="1710" w:type="dxa"/>
            <w:shd w:val="clear" w:color="auto" w:fill="auto"/>
            <w:tcMar>
              <w:top w:w="100" w:type="dxa"/>
              <w:left w:w="100" w:type="dxa"/>
              <w:bottom w:w="100" w:type="dxa"/>
              <w:right w:w="100" w:type="dxa"/>
            </w:tcMar>
          </w:tcPr>
          <w:p w14:paraId="49E2AEE4"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 xml:space="preserve">Comparator </w:t>
            </w:r>
          </w:p>
        </w:tc>
        <w:tc>
          <w:tcPr>
            <w:tcW w:w="1350" w:type="dxa"/>
            <w:shd w:val="clear" w:color="auto" w:fill="auto"/>
            <w:tcMar>
              <w:top w:w="100" w:type="dxa"/>
              <w:left w:w="100" w:type="dxa"/>
              <w:bottom w:w="100" w:type="dxa"/>
              <w:right w:w="100" w:type="dxa"/>
            </w:tcMar>
          </w:tcPr>
          <w:p w14:paraId="185C2D42"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Cases prevented</w:t>
            </w:r>
          </w:p>
        </w:tc>
        <w:tc>
          <w:tcPr>
            <w:tcW w:w="1260" w:type="dxa"/>
            <w:shd w:val="clear" w:color="auto" w:fill="auto"/>
            <w:tcMar>
              <w:top w:w="100" w:type="dxa"/>
              <w:left w:w="100" w:type="dxa"/>
              <w:bottom w:w="100" w:type="dxa"/>
              <w:right w:w="100" w:type="dxa"/>
            </w:tcMar>
          </w:tcPr>
          <w:p w14:paraId="2340FAF2" w14:textId="2D6867C8"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95% CI low</w:t>
            </w:r>
            <w:r w:rsidR="00EC5255">
              <w:rPr>
                <w:rFonts w:ascii="Times New Roman" w:hAnsi="Times New Roman" w:cs="Times New Roman"/>
                <w:b/>
                <w:sz w:val="24"/>
                <w:szCs w:val="24"/>
              </w:rPr>
              <w:t>er limit</w:t>
            </w:r>
          </w:p>
        </w:tc>
        <w:tc>
          <w:tcPr>
            <w:tcW w:w="1260" w:type="dxa"/>
            <w:shd w:val="clear" w:color="auto" w:fill="auto"/>
            <w:tcMar>
              <w:top w:w="100" w:type="dxa"/>
              <w:left w:w="100" w:type="dxa"/>
              <w:bottom w:w="100" w:type="dxa"/>
              <w:right w:w="100" w:type="dxa"/>
            </w:tcMar>
          </w:tcPr>
          <w:p w14:paraId="0EE7D1B6" w14:textId="054F26B6"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 xml:space="preserve">95% CI </w:t>
            </w:r>
            <w:r w:rsidR="00EC5255">
              <w:rPr>
                <w:rFonts w:ascii="Times New Roman" w:hAnsi="Times New Roman" w:cs="Times New Roman"/>
                <w:b/>
                <w:sz w:val="24"/>
                <w:szCs w:val="24"/>
              </w:rPr>
              <w:t>upper limit</w:t>
            </w:r>
          </w:p>
        </w:tc>
        <w:tc>
          <w:tcPr>
            <w:tcW w:w="900" w:type="dxa"/>
            <w:shd w:val="clear" w:color="auto" w:fill="auto"/>
            <w:tcMar>
              <w:top w:w="100" w:type="dxa"/>
              <w:left w:w="100" w:type="dxa"/>
              <w:bottom w:w="100" w:type="dxa"/>
              <w:right w:w="100" w:type="dxa"/>
            </w:tcMar>
          </w:tcPr>
          <w:p w14:paraId="6E64E4A4"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NNV*</w:t>
            </w:r>
          </w:p>
        </w:tc>
        <w:tc>
          <w:tcPr>
            <w:tcW w:w="2790" w:type="dxa"/>
            <w:shd w:val="clear" w:color="auto" w:fill="auto"/>
            <w:tcMar>
              <w:top w:w="100" w:type="dxa"/>
              <w:left w:w="100" w:type="dxa"/>
              <w:bottom w:w="100" w:type="dxa"/>
              <w:right w:w="100" w:type="dxa"/>
            </w:tcMar>
          </w:tcPr>
          <w:p w14:paraId="2FA46A41"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Notes, Uncertainty and Strength of Evidence</w:t>
            </w:r>
          </w:p>
        </w:tc>
      </w:tr>
      <w:tr w:rsidR="00783F18" w:rsidRPr="00783F18" w14:paraId="19F32D13" w14:textId="77777777" w:rsidTr="008001AE">
        <w:tc>
          <w:tcPr>
            <w:tcW w:w="1250" w:type="dxa"/>
            <w:shd w:val="clear" w:color="auto" w:fill="auto"/>
            <w:tcMar>
              <w:top w:w="100" w:type="dxa"/>
              <w:left w:w="100" w:type="dxa"/>
              <w:bottom w:w="100" w:type="dxa"/>
              <w:right w:w="100" w:type="dxa"/>
            </w:tcMar>
          </w:tcPr>
          <w:p w14:paraId="2BD4574C"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c>
          <w:tcPr>
            <w:tcW w:w="1350" w:type="dxa"/>
            <w:shd w:val="clear" w:color="auto" w:fill="auto"/>
            <w:tcMar>
              <w:top w:w="100" w:type="dxa"/>
              <w:left w:w="100" w:type="dxa"/>
              <w:bottom w:w="100" w:type="dxa"/>
              <w:right w:w="100" w:type="dxa"/>
            </w:tcMar>
          </w:tcPr>
          <w:p w14:paraId="0C25D933"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710" w:type="dxa"/>
            <w:shd w:val="clear" w:color="auto" w:fill="auto"/>
            <w:tcMar>
              <w:top w:w="100" w:type="dxa"/>
              <w:left w:w="100" w:type="dxa"/>
              <w:bottom w:w="100" w:type="dxa"/>
              <w:right w:w="100" w:type="dxa"/>
            </w:tcMar>
          </w:tcPr>
          <w:p w14:paraId="230A4428"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350" w:type="dxa"/>
            <w:shd w:val="clear" w:color="auto" w:fill="auto"/>
            <w:tcMar>
              <w:top w:w="100" w:type="dxa"/>
              <w:left w:w="100" w:type="dxa"/>
              <w:bottom w:w="100" w:type="dxa"/>
              <w:right w:w="100" w:type="dxa"/>
            </w:tcMar>
          </w:tcPr>
          <w:p w14:paraId="5BE58912"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0FC86FE1"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1778B347"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900" w:type="dxa"/>
            <w:shd w:val="clear" w:color="auto" w:fill="auto"/>
            <w:tcMar>
              <w:top w:w="100" w:type="dxa"/>
              <w:left w:w="100" w:type="dxa"/>
              <w:bottom w:w="100" w:type="dxa"/>
              <w:right w:w="100" w:type="dxa"/>
            </w:tcMar>
          </w:tcPr>
          <w:p w14:paraId="0C82688A"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2790" w:type="dxa"/>
            <w:shd w:val="clear" w:color="auto" w:fill="auto"/>
            <w:tcMar>
              <w:top w:w="100" w:type="dxa"/>
              <w:left w:w="100" w:type="dxa"/>
              <w:bottom w:w="100" w:type="dxa"/>
              <w:right w:w="100" w:type="dxa"/>
            </w:tcMar>
          </w:tcPr>
          <w:p w14:paraId="01F11D06"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r>
      <w:tr w:rsidR="00783F18" w:rsidRPr="00783F18" w14:paraId="040CD014" w14:textId="77777777" w:rsidTr="008001AE">
        <w:tc>
          <w:tcPr>
            <w:tcW w:w="1250" w:type="dxa"/>
            <w:shd w:val="clear" w:color="auto" w:fill="auto"/>
            <w:tcMar>
              <w:top w:w="100" w:type="dxa"/>
              <w:left w:w="100" w:type="dxa"/>
              <w:bottom w:w="100" w:type="dxa"/>
              <w:right w:w="100" w:type="dxa"/>
            </w:tcMar>
          </w:tcPr>
          <w:p w14:paraId="2114E6BB"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c>
          <w:tcPr>
            <w:tcW w:w="1350" w:type="dxa"/>
            <w:shd w:val="clear" w:color="auto" w:fill="auto"/>
            <w:tcMar>
              <w:top w:w="100" w:type="dxa"/>
              <w:left w:w="100" w:type="dxa"/>
              <w:bottom w:w="100" w:type="dxa"/>
              <w:right w:w="100" w:type="dxa"/>
            </w:tcMar>
          </w:tcPr>
          <w:p w14:paraId="39E46096"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710" w:type="dxa"/>
            <w:shd w:val="clear" w:color="auto" w:fill="auto"/>
            <w:tcMar>
              <w:top w:w="100" w:type="dxa"/>
              <w:left w:w="100" w:type="dxa"/>
              <w:bottom w:w="100" w:type="dxa"/>
              <w:right w:w="100" w:type="dxa"/>
            </w:tcMar>
          </w:tcPr>
          <w:p w14:paraId="095A2D5E"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350" w:type="dxa"/>
            <w:shd w:val="clear" w:color="auto" w:fill="auto"/>
            <w:tcMar>
              <w:top w:w="100" w:type="dxa"/>
              <w:left w:w="100" w:type="dxa"/>
              <w:bottom w:w="100" w:type="dxa"/>
              <w:right w:w="100" w:type="dxa"/>
            </w:tcMar>
          </w:tcPr>
          <w:p w14:paraId="638B1E94"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6B20ECC7"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69288667"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900" w:type="dxa"/>
            <w:shd w:val="clear" w:color="auto" w:fill="auto"/>
            <w:tcMar>
              <w:top w:w="100" w:type="dxa"/>
              <w:left w:w="100" w:type="dxa"/>
              <w:bottom w:w="100" w:type="dxa"/>
              <w:right w:w="100" w:type="dxa"/>
            </w:tcMar>
          </w:tcPr>
          <w:p w14:paraId="52B8FDDA"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p>
        </w:tc>
        <w:tc>
          <w:tcPr>
            <w:tcW w:w="2790" w:type="dxa"/>
            <w:shd w:val="clear" w:color="auto" w:fill="auto"/>
            <w:tcMar>
              <w:top w:w="100" w:type="dxa"/>
              <w:left w:w="100" w:type="dxa"/>
              <w:bottom w:w="100" w:type="dxa"/>
              <w:right w:w="100" w:type="dxa"/>
            </w:tcMar>
          </w:tcPr>
          <w:p w14:paraId="1DEF6545"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r>
    </w:tbl>
    <w:p w14:paraId="7A9731BB" w14:textId="77777777" w:rsidR="00783F18" w:rsidRPr="00783F18" w:rsidRDefault="00783F18" w:rsidP="00783F18">
      <w:pPr>
        <w:rPr>
          <w:rFonts w:ascii="Times New Roman" w:hAnsi="Times New Roman" w:cs="Times New Roman"/>
          <w:sz w:val="24"/>
          <w:szCs w:val="24"/>
        </w:rPr>
      </w:pPr>
      <w:r w:rsidRPr="00783F18">
        <w:rPr>
          <w:rFonts w:ascii="Times New Roman" w:hAnsi="Times New Roman" w:cs="Times New Roman"/>
          <w:sz w:val="24"/>
          <w:szCs w:val="24"/>
        </w:rPr>
        <w:t>*NNV = number needed to vaccinate</w:t>
      </w:r>
    </w:p>
    <w:p w14:paraId="155BC20E" w14:textId="77777777" w:rsidR="00783F18" w:rsidRPr="00783F18" w:rsidRDefault="00783F18" w:rsidP="00783F18">
      <w:pPr>
        <w:rPr>
          <w:rFonts w:ascii="Times New Roman" w:hAnsi="Times New Roman" w:cs="Times New Roman"/>
          <w:sz w:val="24"/>
          <w:szCs w:val="24"/>
        </w:rPr>
      </w:pPr>
      <w:r w:rsidRPr="00783F18">
        <w:rPr>
          <w:rFonts w:ascii="Times New Roman" w:hAnsi="Times New Roman" w:cs="Times New Roman"/>
          <w:sz w:val="24"/>
          <w:szCs w:val="24"/>
        </w:rPr>
        <w:t>Transmission rate definition, Scenario definition</w:t>
      </w:r>
    </w:p>
    <w:p w14:paraId="7C3054F2" w14:textId="77777777" w:rsidR="00783F18" w:rsidRPr="00783F18" w:rsidRDefault="00783F18" w:rsidP="00783F18">
      <w:pPr>
        <w:rPr>
          <w:rFonts w:ascii="Times New Roman" w:hAnsi="Times New Roman" w:cs="Times New Roman"/>
          <w:b/>
          <w:sz w:val="24"/>
          <w:szCs w:val="24"/>
        </w:rPr>
      </w:pPr>
    </w:p>
    <w:p w14:paraId="69ED2AF0" w14:textId="2204B702" w:rsidR="002A0E6C" w:rsidRPr="00783F18" w:rsidRDefault="00783F18" w:rsidP="002A0E6C">
      <w:pPr>
        <w:rPr>
          <w:rFonts w:ascii="Times New Roman" w:hAnsi="Times New Roman" w:cs="Times New Roman"/>
          <w:b/>
          <w:sz w:val="24"/>
          <w:szCs w:val="24"/>
        </w:rPr>
      </w:pPr>
      <w:r w:rsidRPr="00783F18">
        <w:rPr>
          <w:rFonts w:ascii="Times New Roman" w:hAnsi="Times New Roman" w:cs="Times New Roman"/>
          <w:b/>
          <w:sz w:val="24"/>
          <w:szCs w:val="24"/>
        </w:rPr>
        <w:t>Table 3 Benefits</w:t>
      </w:r>
      <w:r w:rsidR="002A0E6C">
        <w:rPr>
          <w:rFonts w:ascii="Times New Roman" w:hAnsi="Times New Roman" w:cs="Times New Roman"/>
          <w:b/>
          <w:sz w:val="24"/>
          <w:szCs w:val="24"/>
        </w:rPr>
        <w:t xml:space="preserve"> </w:t>
      </w:r>
      <w:r w:rsidR="002A0E6C">
        <w:rPr>
          <w:rFonts w:ascii="Times New Roman" w:hAnsi="Times New Roman" w:cs="Times New Roman"/>
          <w:b/>
          <w:sz w:val="24"/>
          <w:szCs w:val="24"/>
        </w:rPr>
        <w:t>for third</w:t>
      </w:r>
      <w:r w:rsidR="002A0E6C">
        <w:rPr>
          <w:rFonts w:ascii="Times New Roman" w:hAnsi="Times New Roman" w:cs="Times New Roman"/>
          <w:b/>
          <w:sz w:val="24"/>
          <w:szCs w:val="24"/>
        </w:rPr>
        <w:t xml:space="preserve"> set of </w:t>
      </w:r>
      <w:proofErr w:type="gramStart"/>
      <w:r w:rsidR="002A0E6C">
        <w:rPr>
          <w:rFonts w:ascii="Times New Roman" w:hAnsi="Times New Roman" w:cs="Times New Roman"/>
          <w:b/>
          <w:sz w:val="24"/>
          <w:szCs w:val="24"/>
        </w:rPr>
        <w:t>comparator</w:t>
      </w:r>
      <w:proofErr w:type="gramEnd"/>
      <w:r w:rsidR="002A0E6C">
        <w:rPr>
          <w:rFonts w:ascii="Times New Roman" w:hAnsi="Times New Roman" w:cs="Times New Roman"/>
          <w:b/>
          <w:sz w:val="24"/>
          <w:szCs w:val="24"/>
        </w:rPr>
        <w:t>, subgroup, transmission rate and scenario</w:t>
      </w:r>
    </w:p>
    <w:p w14:paraId="6537BB27" w14:textId="4A953591" w:rsidR="00783F18" w:rsidRPr="00783F18" w:rsidRDefault="00783F18" w:rsidP="00783F18">
      <w:pPr>
        <w:rPr>
          <w:rFonts w:ascii="Times New Roman" w:hAnsi="Times New Roman" w:cs="Times New Roman"/>
          <w:b/>
          <w:sz w:val="24"/>
          <w:szCs w:val="24"/>
        </w:rPr>
      </w:pPr>
    </w:p>
    <w:p w14:paraId="2613AF18" w14:textId="77777777" w:rsidR="00783F18" w:rsidRPr="00783F18" w:rsidRDefault="00783F18" w:rsidP="00783F18">
      <w:pPr>
        <w:tabs>
          <w:tab w:val="left" w:pos="3966"/>
        </w:tabs>
        <w:rPr>
          <w:rFonts w:ascii="Times New Roman" w:hAnsi="Times New Roman" w:cs="Times New Roman"/>
          <w:sz w:val="24"/>
          <w:szCs w:val="24"/>
        </w:rPr>
        <w:sectPr w:rsidR="00783F18" w:rsidRPr="00783F18">
          <w:pgSz w:w="16838" w:h="11906" w:orient="landscape"/>
          <w:pgMar w:top="1440" w:right="1440" w:bottom="1440" w:left="1440" w:header="708" w:footer="708" w:gutter="0"/>
          <w:cols w:space="720"/>
        </w:sectPr>
      </w:pPr>
      <w:r w:rsidRPr="00783F18">
        <w:rPr>
          <w:rFonts w:ascii="Times New Roman" w:hAnsi="Times New Roman" w:cs="Times New Roman"/>
          <w:sz w:val="24"/>
          <w:szCs w:val="24"/>
        </w:rPr>
        <w:t>…</w:t>
      </w:r>
      <w:r w:rsidRPr="00783F18">
        <w:rPr>
          <w:rFonts w:ascii="Times New Roman" w:hAnsi="Times New Roman" w:cs="Times New Roman"/>
          <w:sz w:val="24"/>
          <w:szCs w:val="24"/>
        </w:rPr>
        <w:tab/>
      </w:r>
    </w:p>
    <w:p w14:paraId="5C310315" w14:textId="77777777" w:rsidR="00783F18" w:rsidRPr="00783F18" w:rsidRDefault="00783F18" w:rsidP="00783F18">
      <w:pPr>
        <w:widowControl w:val="0"/>
        <w:pBdr>
          <w:top w:val="nil"/>
          <w:left w:val="nil"/>
          <w:bottom w:val="nil"/>
          <w:right w:val="nil"/>
          <w:between w:val="nil"/>
        </w:pBdr>
        <w:spacing w:line="276" w:lineRule="auto"/>
        <w:rPr>
          <w:rFonts w:ascii="Times New Roman" w:hAnsi="Times New Roman" w:cs="Times New Roman"/>
          <w:sz w:val="24"/>
          <w:szCs w:val="24"/>
        </w:rPr>
      </w:pPr>
    </w:p>
    <w:tbl>
      <w:tblPr>
        <w:tblW w:w="8980" w:type="dxa"/>
        <w:tblInd w:w="-1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8980"/>
      </w:tblGrid>
      <w:tr w:rsidR="00783F18" w:rsidRPr="00783F18" w14:paraId="243A9E45" w14:textId="77777777" w:rsidTr="008001AE">
        <w:tc>
          <w:tcPr>
            <w:tcW w:w="8980" w:type="dxa"/>
            <w:shd w:val="clear" w:color="auto" w:fill="FFFF99"/>
          </w:tcPr>
          <w:p w14:paraId="5F5034E3" w14:textId="77777777" w:rsidR="00783F18" w:rsidRPr="00783F18" w:rsidRDefault="00783F18" w:rsidP="008001AE">
            <w:pPr>
              <w:rPr>
                <w:rFonts w:ascii="Times New Roman" w:hAnsi="Times New Roman" w:cs="Times New Roman"/>
                <w:b/>
                <w:sz w:val="24"/>
                <w:szCs w:val="24"/>
              </w:rPr>
            </w:pPr>
          </w:p>
          <w:p w14:paraId="2309D6C3"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b/>
                <w:sz w:val="24"/>
                <w:szCs w:val="24"/>
              </w:rPr>
              <w:t>Section 6: Risk Data and mitigations</w:t>
            </w:r>
            <w:r w:rsidRPr="00783F18">
              <w:rPr>
                <w:rFonts w:ascii="Times New Roman" w:hAnsi="Times New Roman" w:cs="Times New Roman"/>
                <w:sz w:val="24"/>
                <w:szCs w:val="24"/>
              </w:rPr>
              <w:t>:</w:t>
            </w:r>
          </w:p>
          <w:p w14:paraId="4B80B8B4" w14:textId="77777777" w:rsidR="00783F18" w:rsidRPr="00783F18" w:rsidRDefault="00783F18" w:rsidP="005A7F99">
            <w:pPr>
              <w:spacing w:after="0" w:line="240" w:lineRule="auto"/>
              <w:rPr>
                <w:rFonts w:ascii="Times New Roman" w:hAnsi="Times New Roman" w:cs="Times New Roman"/>
                <w:sz w:val="24"/>
                <w:szCs w:val="24"/>
              </w:rPr>
            </w:pPr>
          </w:p>
        </w:tc>
      </w:tr>
    </w:tbl>
    <w:p w14:paraId="77D67E7A" w14:textId="77777777" w:rsidR="00783F18" w:rsidRPr="00783F18" w:rsidRDefault="00783F18" w:rsidP="00783F18">
      <w:pPr>
        <w:rPr>
          <w:rFonts w:ascii="Times New Roman" w:hAnsi="Times New Roman" w:cs="Times New Roman"/>
          <w:b/>
          <w:sz w:val="24"/>
          <w:szCs w:val="24"/>
        </w:rPr>
      </w:pPr>
    </w:p>
    <w:p w14:paraId="0C2778AD" w14:textId="39A90072"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b/>
          <w:sz w:val="24"/>
          <w:szCs w:val="24"/>
        </w:rPr>
        <w:t>For each risk listed in the value tree (Section 2)</w:t>
      </w:r>
      <w:r w:rsidRPr="00783F18">
        <w:rPr>
          <w:rFonts w:ascii="Times New Roman" w:hAnsi="Times New Roman" w:cs="Times New Roman"/>
          <w:sz w:val="24"/>
          <w:szCs w:val="24"/>
        </w:rPr>
        <w:t>, provide the clinical or observational data to be used in the B-R assessment, including number of cases per 1,000,000 individuals vaccinated with vaccine of interest, number of cases per 1,000,000 individuals on the comparator, number of cases caused or prevented by the vaccine of interest vs. comparator per 1,000,000 individuals, and your assessment of strengths and uncertainties of evidence. If available and relevant to the B-R assessment, 95% confidence intervals for the number of cases caused or prevented can be included as a reflection of statistical uncertainty. Column headings can be changed as needed to reflect the type of data entered. Number needed to harm (NNH) can optionally be included.</w:t>
      </w:r>
    </w:p>
    <w:p w14:paraId="6D6D77AE" w14:textId="7ADA7FD9"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As appropriate, and if possible, consider the impact of risk mitigations from the Risk Mitigation Plan and describe the impact of these mitigations on the harms.</w:t>
      </w:r>
      <w:r w:rsidR="00024EF8">
        <w:rPr>
          <w:rFonts w:ascii="Times New Roman" w:hAnsi="Times New Roman" w:cs="Times New Roman"/>
          <w:sz w:val="24"/>
          <w:szCs w:val="24"/>
        </w:rPr>
        <w:t xml:space="preserve"> </w:t>
      </w:r>
      <w:r w:rsidRPr="00783F18">
        <w:rPr>
          <w:rFonts w:ascii="Times New Roman" w:hAnsi="Times New Roman" w:cs="Times New Roman"/>
          <w:sz w:val="24"/>
          <w:szCs w:val="24"/>
        </w:rPr>
        <w:t>If mitigations can be described numerically, consider using scenarios to describe the risk data when including the impact of the mitigation.</w:t>
      </w:r>
    </w:p>
    <w:p w14:paraId="47CBE2D4" w14:textId="2382F207"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Table titles or footnotes can be modified to include relevant information, such as the risk windows used.</w:t>
      </w:r>
    </w:p>
    <w:p w14:paraId="73C9A8BE" w14:textId="77777777" w:rsidR="00783F18" w:rsidRPr="00783F18" w:rsidRDefault="00783F18" w:rsidP="00362430">
      <w:pPr>
        <w:spacing w:line="480" w:lineRule="auto"/>
        <w:ind w:firstLine="720"/>
        <w:rPr>
          <w:rFonts w:ascii="Times New Roman" w:hAnsi="Times New Roman" w:cs="Times New Roman"/>
          <w:sz w:val="24"/>
          <w:szCs w:val="24"/>
        </w:rPr>
        <w:sectPr w:rsidR="00783F18" w:rsidRPr="00783F18">
          <w:pgSz w:w="11906" w:h="16838"/>
          <w:pgMar w:top="1440" w:right="1440" w:bottom="1440" w:left="1440" w:header="708" w:footer="708" w:gutter="0"/>
          <w:cols w:space="720"/>
        </w:sectPr>
      </w:pPr>
      <w:r w:rsidRPr="00783F18">
        <w:rPr>
          <w:rFonts w:ascii="Times New Roman" w:hAnsi="Times New Roman" w:cs="Times New Roman"/>
          <w:sz w:val="24"/>
          <w:szCs w:val="24"/>
        </w:rPr>
        <w:t xml:space="preserve">For other details, see the instructions under Section 5: Benefits Data  </w:t>
      </w:r>
    </w:p>
    <w:p w14:paraId="1A5B770A" w14:textId="77777777" w:rsidR="00783F18" w:rsidRPr="00783F18" w:rsidRDefault="00783F18" w:rsidP="00783F18">
      <w:pPr>
        <w:rPr>
          <w:rFonts w:ascii="Times New Roman" w:hAnsi="Times New Roman" w:cs="Times New Roman"/>
          <w:b/>
          <w:sz w:val="24"/>
          <w:szCs w:val="24"/>
        </w:rPr>
      </w:pPr>
      <w:r w:rsidRPr="00783F18">
        <w:rPr>
          <w:rFonts w:ascii="Times New Roman" w:hAnsi="Times New Roman" w:cs="Times New Roman"/>
          <w:b/>
          <w:sz w:val="24"/>
          <w:szCs w:val="24"/>
        </w:rPr>
        <w:lastRenderedPageBreak/>
        <w:t xml:space="preserve">This table should be completed for each combination of comparator, infection/transmission rate, subgroup and </w:t>
      </w:r>
      <w:proofErr w:type="gramStart"/>
      <w:r w:rsidRPr="00783F18">
        <w:rPr>
          <w:rFonts w:ascii="Times New Roman" w:hAnsi="Times New Roman" w:cs="Times New Roman"/>
          <w:b/>
          <w:sz w:val="24"/>
          <w:szCs w:val="24"/>
        </w:rPr>
        <w:t>scenario</w:t>
      </w:r>
      <w:proofErr w:type="gramEnd"/>
    </w:p>
    <w:p w14:paraId="41F27168" w14:textId="77777777" w:rsidR="00783F18" w:rsidRPr="00783F18" w:rsidRDefault="00783F18" w:rsidP="00783F18">
      <w:pPr>
        <w:rPr>
          <w:rFonts w:ascii="Times New Roman" w:hAnsi="Times New Roman" w:cs="Times New Roman"/>
          <w:b/>
          <w:sz w:val="24"/>
          <w:szCs w:val="24"/>
        </w:rPr>
      </w:pPr>
    </w:p>
    <w:p w14:paraId="1BCF2FB0" w14:textId="54819FD1" w:rsidR="002A0E6C" w:rsidRPr="00783F18" w:rsidRDefault="00783F18" w:rsidP="002A0E6C">
      <w:pPr>
        <w:rPr>
          <w:rFonts w:ascii="Times New Roman" w:hAnsi="Times New Roman" w:cs="Times New Roman"/>
          <w:b/>
          <w:sz w:val="24"/>
          <w:szCs w:val="24"/>
        </w:rPr>
      </w:pPr>
      <w:r w:rsidRPr="00783F18">
        <w:rPr>
          <w:rFonts w:ascii="Times New Roman" w:hAnsi="Times New Roman" w:cs="Times New Roman"/>
          <w:b/>
          <w:sz w:val="24"/>
          <w:szCs w:val="24"/>
        </w:rPr>
        <w:t>Table 1 Risks</w:t>
      </w:r>
      <w:r w:rsidR="002A0E6C">
        <w:rPr>
          <w:rFonts w:ascii="Times New Roman" w:hAnsi="Times New Roman" w:cs="Times New Roman"/>
          <w:b/>
          <w:sz w:val="24"/>
          <w:szCs w:val="24"/>
        </w:rPr>
        <w:t xml:space="preserve"> </w:t>
      </w:r>
      <w:r w:rsidR="002A0E6C">
        <w:rPr>
          <w:rFonts w:ascii="Times New Roman" w:hAnsi="Times New Roman" w:cs="Times New Roman"/>
          <w:b/>
          <w:sz w:val="24"/>
          <w:szCs w:val="24"/>
        </w:rPr>
        <w:t>for f</w:t>
      </w:r>
      <w:r w:rsidR="002A0E6C">
        <w:rPr>
          <w:rFonts w:ascii="Times New Roman" w:hAnsi="Times New Roman" w:cs="Times New Roman"/>
          <w:b/>
          <w:sz w:val="24"/>
          <w:szCs w:val="24"/>
        </w:rPr>
        <w:t xml:space="preserve">irst set of </w:t>
      </w:r>
      <w:proofErr w:type="gramStart"/>
      <w:r w:rsidR="002A0E6C">
        <w:rPr>
          <w:rFonts w:ascii="Times New Roman" w:hAnsi="Times New Roman" w:cs="Times New Roman"/>
          <w:b/>
          <w:sz w:val="24"/>
          <w:szCs w:val="24"/>
        </w:rPr>
        <w:t>comparator</w:t>
      </w:r>
      <w:proofErr w:type="gramEnd"/>
      <w:r w:rsidR="002A0E6C">
        <w:rPr>
          <w:rFonts w:ascii="Times New Roman" w:hAnsi="Times New Roman" w:cs="Times New Roman"/>
          <w:b/>
          <w:sz w:val="24"/>
          <w:szCs w:val="24"/>
        </w:rPr>
        <w:t>, subgroup, transmission rate and scenario</w:t>
      </w:r>
    </w:p>
    <w:tbl>
      <w:tblPr>
        <w:tblW w:w="11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0"/>
        <w:gridCol w:w="1080"/>
        <w:gridCol w:w="1080"/>
        <w:gridCol w:w="990"/>
        <w:gridCol w:w="1080"/>
        <w:gridCol w:w="1080"/>
        <w:gridCol w:w="1060"/>
        <w:gridCol w:w="3510"/>
      </w:tblGrid>
      <w:tr w:rsidR="00B96B4A" w:rsidRPr="00783F18" w14:paraId="42138FC7" w14:textId="77777777" w:rsidTr="00D046C0">
        <w:trPr>
          <w:trHeight w:val="460"/>
        </w:trPr>
        <w:tc>
          <w:tcPr>
            <w:tcW w:w="1520" w:type="dxa"/>
            <w:shd w:val="clear" w:color="auto" w:fill="auto"/>
            <w:tcMar>
              <w:top w:w="100" w:type="dxa"/>
              <w:left w:w="100" w:type="dxa"/>
              <w:bottom w:w="100" w:type="dxa"/>
              <w:right w:w="100" w:type="dxa"/>
            </w:tcMar>
          </w:tcPr>
          <w:p w14:paraId="3F75E00C" w14:textId="77777777" w:rsidR="00B96B4A" w:rsidRPr="00783F18" w:rsidRDefault="00B96B4A" w:rsidP="008001AE">
            <w:pPr>
              <w:widowControl w:val="0"/>
              <w:rPr>
                <w:rFonts w:ascii="Times New Roman" w:hAnsi="Times New Roman" w:cs="Times New Roman"/>
                <w:b/>
                <w:sz w:val="24"/>
                <w:szCs w:val="24"/>
              </w:rPr>
            </w:pPr>
          </w:p>
        </w:tc>
        <w:tc>
          <w:tcPr>
            <w:tcW w:w="6370" w:type="dxa"/>
            <w:gridSpan w:val="6"/>
            <w:shd w:val="clear" w:color="auto" w:fill="auto"/>
            <w:tcMar>
              <w:top w:w="100" w:type="dxa"/>
              <w:left w:w="100" w:type="dxa"/>
              <w:bottom w:w="100" w:type="dxa"/>
              <w:right w:w="100" w:type="dxa"/>
            </w:tcMar>
          </w:tcPr>
          <w:p w14:paraId="28210B12" w14:textId="77777777" w:rsidR="00B96B4A" w:rsidRPr="00783F18" w:rsidRDefault="00B96B4A" w:rsidP="008001AE">
            <w:pPr>
              <w:widowControl w:val="0"/>
              <w:jc w:val="center"/>
              <w:rPr>
                <w:rFonts w:ascii="Times New Roman" w:hAnsi="Times New Roman" w:cs="Times New Roman"/>
                <w:b/>
                <w:sz w:val="24"/>
                <w:szCs w:val="24"/>
              </w:rPr>
            </w:pPr>
            <w:r w:rsidRPr="00783F18">
              <w:rPr>
                <w:rFonts w:ascii="Times New Roman" w:hAnsi="Times New Roman" w:cs="Times New Roman"/>
                <w:b/>
                <w:sz w:val="24"/>
                <w:szCs w:val="24"/>
              </w:rPr>
              <w:t>Proportion or Rate (/1,000,000)</w:t>
            </w:r>
          </w:p>
        </w:tc>
        <w:tc>
          <w:tcPr>
            <w:tcW w:w="3510" w:type="dxa"/>
            <w:shd w:val="clear" w:color="auto" w:fill="auto"/>
            <w:tcMar>
              <w:top w:w="100" w:type="dxa"/>
              <w:left w:w="100" w:type="dxa"/>
              <w:bottom w:w="100" w:type="dxa"/>
              <w:right w:w="100" w:type="dxa"/>
            </w:tcMar>
          </w:tcPr>
          <w:p w14:paraId="5843F4CF" w14:textId="77777777" w:rsidR="00B96B4A" w:rsidRPr="00783F18" w:rsidRDefault="00B96B4A" w:rsidP="008001AE">
            <w:pPr>
              <w:widowControl w:val="0"/>
              <w:rPr>
                <w:rFonts w:ascii="Times New Roman" w:hAnsi="Times New Roman" w:cs="Times New Roman"/>
                <w:b/>
                <w:sz w:val="24"/>
                <w:szCs w:val="24"/>
              </w:rPr>
            </w:pPr>
          </w:p>
        </w:tc>
      </w:tr>
      <w:tr w:rsidR="00B96B4A" w:rsidRPr="00783F18" w14:paraId="780FA2FB" w14:textId="77777777" w:rsidTr="00D046C0">
        <w:trPr>
          <w:trHeight w:val="636"/>
        </w:trPr>
        <w:tc>
          <w:tcPr>
            <w:tcW w:w="1520" w:type="dxa"/>
            <w:shd w:val="clear" w:color="auto" w:fill="auto"/>
            <w:tcMar>
              <w:top w:w="100" w:type="dxa"/>
              <w:left w:w="100" w:type="dxa"/>
              <w:bottom w:w="100" w:type="dxa"/>
              <w:right w:w="100" w:type="dxa"/>
            </w:tcMar>
          </w:tcPr>
          <w:p w14:paraId="037F9253" w14:textId="77777777"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Endpoint</w:t>
            </w:r>
          </w:p>
        </w:tc>
        <w:tc>
          <w:tcPr>
            <w:tcW w:w="1080" w:type="dxa"/>
            <w:shd w:val="clear" w:color="auto" w:fill="auto"/>
            <w:tcMar>
              <w:top w:w="100" w:type="dxa"/>
              <w:left w:w="100" w:type="dxa"/>
              <w:bottom w:w="100" w:type="dxa"/>
              <w:right w:w="100" w:type="dxa"/>
            </w:tcMar>
          </w:tcPr>
          <w:p w14:paraId="501D2323" w14:textId="77777777"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Vaccine</w:t>
            </w:r>
          </w:p>
        </w:tc>
        <w:tc>
          <w:tcPr>
            <w:tcW w:w="1080" w:type="dxa"/>
            <w:shd w:val="clear" w:color="auto" w:fill="auto"/>
            <w:tcMar>
              <w:top w:w="100" w:type="dxa"/>
              <w:left w:w="100" w:type="dxa"/>
              <w:bottom w:w="100" w:type="dxa"/>
              <w:right w:w="100" w:type="dxa"/>
            </w:tcMar>
          </w:tcPr>
          <w:p w14:paraId="08D9DD45" w14:textId="77777777"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Comparator</w:t>
            </w:r>
          </w:p>
        </w:tc>
        <w:tc>
          <w:tcPr>
            <w:tcW w:w="990" w:type="dxa"/>
            <w:shd w:val="clear" w:color="auto" w:fill="auto"/>
            <w:tcMar>
              <w:top w:w="100" w:type="dxa"/>
              <w:left w:w="100" w:type="dxa"/>
              <w:bottom w:w="100" w:type="dxa"/>
              <w:right w:w="100" w:type="dxa"/>
            </w:tcMar>
          </w:tcPr>
          <w:p w14:paraId="290A5498" w14:textId="77777777"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Cases caused</w:t>
            </w:r>
          </w:p>
        </w:tc>
        <w:tc>
          <w:tcPr>
            <w:tcW w:w="1080" w:type="dxa"/>
            <w:shd w:val="clear" w:color="auto" w:fill="auto"/>
            <w:tcMar>
              <w:top w:w="100" w:type="dxa"/>
              <w:left w:w="100" w:type="dxa"/>
              <w:bottom w:w="100" w:type="dxa"/>
              <w:right w:w="100" w:type="dxa"/>
            </w:tcMar>
          </w:tcPr>
          <w:p w14:paraId="0C5C0B5C" w14:textId="719499E5"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95% CI low</w:t>
            </w:r>
            <w:r>
              <w:rPr>
                <w:rFonts w:ascii="Times New Roman" w:hAnsi="Times New Roman" w:cs="Times New Roman"/>
                <w:b/>
                <w:sz w:val="24"/>
                <w:szCs w:val="24"/>
              </w:rPr>
              <w:t>er limit</w:t>
            </w:r>
          </w:p>
        </w:tc>
        <w:tc>
          <w:tcPr>
            <w:tcW w:w="1080" w:type="dxa"/>
            <w:shd w:val="clear" w:color="auto" w:fill="auto"/>
            <w:tcMar>
              <w:top w:w="100" w:type="dxa"/>
              <w:left w:w="100" w:type="dxa"/>
              <w:bottom w:w="100" w:type="dxa"/>
              <w:right w:w="100" w:type="dxa"/>
            </w:tcMar>
          </w:tcPr>
          <w:p w14:paraId="422C8E7B" w14:textId="488CC319"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 xml:space="preserve">95% CI </w:t>
            </w:r>
            <w:r>
              <w:rPr>
                <w:rFonts w:ascii="Times New Roman" w:hAnsi="Times New Roman" w:cs="Times New Roman"/>
                <w:b/>
                <w:sz w:val="24"/>
                <w:szCs w:val="24"/>
              </w:rPr>
              <w:t>upper limit</w:t>
            </w:r>
          </w:p>
        </w:tc>
        <w:tc>
          <w:tcPr>
            <w:tcW w:w="1060" w:type="dxa"/>
            <w:shd w:val="clear" w:color="auto" w:fill="auto"/>
            <w:tcMar>
              <w:top w:w="100" w:type="dxa"/>
              <w:left w:w="100" w:type="dxa"/>
              <w:bottom w:w="100" w:type="dxa"/>
              <w:right w:w="100" w:type="dxa"/>
            </w:tcMar>
          </w:tcPr>
          <w:p w14:paraId="4262D827" w14:textId="77777777"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NNH*</w:t>
            </w:r>
          </w:p>
        </w:tc>
        <w:tc>
          <w:tcPr>
            <w:tcW w:w="3510" w:type="dxa"/>
            <w:shd w:val="clear" w:color="auto" w:fill="auto"/>
            <w:tcMar>
              <w:top w:w="100" w:type="dxa"/>
              <w:left w:w="100" w:type="dxa"/>
              <w:bottom w:w="100" w:type="dxa"/>
              <w:right w:w="100" w:type="dxa"/>
            </w:tcMar>
          </w:tcPr>
          <w:p w14:paraId="7A570960" w14:textId="5713A634"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Notes, Uncertainty and Strength of Evidence</w:t>
            </w:r>
          </w:p>
        </w:tc>
      </w:tr>
      <w:tr w:rsidR="00B96B4A" w:rsidRPr="00783F18" w14:paraId="18BBF1B2" w14:textId="77777777" w:rsidTr="00D046C0">
        <w:trPr>
          <w:trHeight w:val="33"/>
        </w:trPr>
        <w:tc>
          <w:tcPr>
            <w:tcW w:w="1520" w:type="dxa"/>
            <w:shd w:val="clear" w:color="auto" w:fill="auto"/>
            <w:tcMar>
              <w:top w:w="100" w:type="dxa"/>
              <w:left w:w="100" w:type="dxa"/>
              <w:bottom w:w="100" w:type="dxa"/>
              <w:right w:w="100" w:type="dxa"/>
            </w:tcMar>
          </w:tcPr>
          <w:p w14:paraId="0AEC61CF" w14:textId="77777777" w:rsidR="00B96B4A" w:rsidRPr="00783F18" w:rsidRDefault="00B96B4A" w:rsidP="008001AE">
            <w:pPr>
              <w:widowControl w:val="0"/>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297107F6" w14:textId="77777777" w:rsidR="00B96B4A" w:rsidRPr="00783F18" w:rsidRDefault="00B96B4A" w:rsidP="008001AE">
            <w:pPr>
              <w:widowControl w:val="0"/>
              <w:jc w:val="center"/>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704B1FF6" w14:textId="77777777" w:rsidR="00B96B4A" w:rsidRPr="00783F18" w:rsidRDefault="00B96B4A" w:rsidP="008001AE">
            <w:pPr>
              <w:widowControl w:val="0"/>
              <w:jc w:val="center"/>
              <w:rPr>
                <w:rFonts w:ascii="Times New Roman" w:hAnsi="Times New Roman" w:cs="Times New Roman"/>
                <w:sz w:val="24"/>
                <w:szCs w:val="24"/>
              </w:rPr>
            </w:pPr>
          </w:p>
        </w:tc>
        <w:tc>
          <w:tcPr>
            <w:tcW w:w="990" w:type="dxa"/>
            <w:shd w:val="clear" w:color="auto" w:fill="auto"/>
            <w:tcMar>
              <w:top w:w="100" w:type="dxa"/>
              <w:left w:w="100" w:type="dxa"/>
              <w:bottom w:w="100" w:type="dxa"/>
              <w:right w:w="100" w:type="dxa"/>
            </w:tcMar>
          </w:tcPr>
          <w:p w14:paraId="0D161808" w14:textId="77777777" w:rsidR="00B96B4A" w:rsidRPr="00783F18" w:rsidRDefault="00B96B4A" w:rsidP="008001AE">
            <w:pPr>
              <w:widowControl w:val="0"/>
              <w:jc w:val="center"/>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23A4A188" w14:textId="77777777" w:rsidR="00B96B4A" w:rsidRPr="00783F18" w:rsidRDefault="00B96B4A" w:rsidP="008001AE">
            <w:pPr>
              <w:widowControl w:val="0"/>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7DD5A1D7" w14:textId="77777777" w:rsidR="00B96B4A" w:rsidRPr="00783F18" w:rsidRDefault="00B96B4A" w:rsidP="008001AE">
            <w:pPr>
              <w:widowControl w:val="0"/>
              <w:rPr>
                <w:rFonts w:ascii="Times New Roman" w:hAnsi="Times New Roman" w:cs="Times New Roman"/>
                <w:sz w:val="24"/>
                <w:szCs w:val="24"/>
              </w:rPr>
            </w:pPr>
          </w:p>
        </w:tc>
        <w:tc>
          <w:tcPr>
            <w:tcW w:w="1060" w:type="dxa"/>
            <w:shd w:val="clear" w:color="auto" w:fill="auto"/>
            <w:tcMar>
              <w:top w:w="100" w:type="dxa"/>
              <w:left w:w="100" w:type="dxa"/>
              <w:bottom w:w="100" w:type="dxa"/>
              <w:right w:w="100" w:type="dxa"/>
            </w:tcMar>
          </w:tcPr>
          <w:p w14:paraId="07AEA13B" w14:textId="77777777" w:rsidR="00B96B4A" w:rsidRPr="00783F18" w:rsidRDefault="00B96B4A" w:rsidP="008001AE">
            <w:pPr>
              <w:widowControl w:val="0"/>
              <w:jc w:val="center"/>
              <w:rPr>
                <w:rFonts w:ascii="Times New Roman" w:hAnsi="Times New Roman" w:cs="Times New Roman"/>
                <w:sz w:val="24"/>
                <w:szCs w:val="24"/>
              </w:rPr>
            </w:pPr>
          </w:p>
        </w:tc>
        <w:tc>
          <w:tcPr>
            <w:tcW w:w="3510" w:type="dxa"/>
            <w:shd w:val="clear" w:color="auto" w:fill="auto"/>
            <w:tcMar>
              <w:top w:w="100" w:type="dxa"/>
              <w:left w:w="100" w:type="dxa"/>
              <w:bottom w:w="100" w:type="dxa"/>
              <w:right w:w="100" w:type="dxa"/>
            </w:tcMar>
          </w:tcPr>
          <w:p w14:paraId="39194013" w14:textId="77777777" w:rsidR="00B96B4A" w:rsidRPr="00783F18" w:rsidRDefault="00B96B4A" w:rsidP="008001AE">
            <w:pPr>
              <w:widowControl w:val="0"/>
              <w:rPr>
                <w:rFonts w:ascii="Times New Roman" w:hAnsi="Times New Roman" w:cs="Times New Roman"/>
                <w:sz w:val="24"/>
                <w:szCs w:val="24"/>
              </w:rPr>
            </w:pPr>
          </w:p>
        </w:tc>
      </w:tr>
      <w:tr w:rsidR="00B96B4A" w:rsidRPr="00783F18" w14:paraId="199FE9A4" w14:textId="77777777" w:rsidTr="00D046C0">
        <w:trPr>
          <w:trHeight w:val="17"/>
        </w:trPr>
        <w:tc>
          <w:tcPr>
            <w:tcW w:w="1520" w:type="dxa"/>
            <w:shd w:val="clear" w:color="auto" w:fill="auto"/>
            <w:tcMar>
              <w:top w:w="100" w:type="dxa"/>
              <w:left w:w="100" w:type="dxa"/>
              <w:bottom w:w="100" w:type="dxa"/>
              <w:right w:w="100" w:type="dxa"/>
            </w:tcMar>
          </w:tcPr>
          <w:p w14:paraId="7D33F681" w14:textId="77777777" w:rsidR="00B96B4A" w:rsidRPr="00783F18" w:rsidRDefault="00B96B4A" w:rsidP="008001AE">
            <w:pPr>
              <w:widowControl w:val="0"/>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4D849F95" w14:textId="77777777" w:rsidR="00B96B4A" w:rsidRPr="00783F18" w:rsidRDefault="00B96B4A" w:rsidP="008001AE">
            <w:pPr>
              <w:widowControl w:val="0"/>
              <w:jc w:val="center"/>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73EB068B" w14:textId="77777777" w:rsidR="00B96B4A" w:rsidRPr="00783F18" w:rsidRDefault="00B96B4A" w:rsidP="008001AE">
            <w:pPr>
              <w:widowControl w:val="0"/>
              <w:jc w:val="center"/>
              <w:rPr>
                <w:rFonts w:ascii="Times New Roman" w:hAnsi="Times New Roman" w:cs="Times New Roman"/>
                <w:sz w:val="24"/>
                <w:szCs w:val="24"/>
              </w:rPr>
            </w:pPr>
          </w:p>
        </w:tc>
        <w:tc>
          <w:tcPr>
            <w:tcW w:w="990" w:type="dxa"/>
            <w:shd w:val="clear" w:color="auto" w:fill="auto"/>
            <w:tcMar>
              <w:top w:w="100" w:type="dxa"/>
              <w:left w:w="100" w:type="dxa"/>
              <w:bottom w:w="100" w:type="dxa"/>
              <w:right w:w="100" w:type="dxa"/>
            </w:tcMar>
          </w:tcPr>
          <w:p w14:paraId="1A670686" w14:textId="77777777" w:rsidR="00B96B4A" w:rsidRPr="00783F18" w:rsidRDefault="00B96B4A" w:rsidP="008001AE">
            <w:pPr>
              <w:widowControl w:val="0"/>
              <w:jc w:val="center"/>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7D71F840" w14:textId="77777777" w:rsidR="00B96B4A" w:rsidRPr="00783F18" w:rsidRDefault="00B96B4A" w:rsidP="008001AE">
            <w:pPr>
              <w:widowControl w:val="0"/>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184DAA96" w14:textId="77777777" w:rsidR="00B96B4A" w:rsidRPr="00783F18" w:rsidRDefault="00B96B4A" w:rsidP="008001AE">
            <w:pPr>
              <w:widowControl w:val="0"/>
              <w:rPr>
                <w:rFonts w:ascii="Times New Roman" w:hAnsi="Times New Roman" w:cs="Times New Roman"/>
                <w:sz w:val="24"/>
                <w:szCs w:val="24"/>
              </w:rPr>
            </w:pPr>
          </w:p>
        </w:tc>
        <w:tc>
          <w:tcPr>
            <w:tcW w:w="1060" w:type="dxa"/>
            <w:shd w:val="clear" w:color="auto" w:fill="auto"/>
            <w:tcMar>
              <w:top w:w="100" w:type="dxa"/>
              <w:left w:w="100" w:type="dxa"/>
              <w:bottom w:w="100" w:type="dxa"/>
              <w:right w:w="100" w:type="dxa"/>
            </w:tcMar>
          </w:tcPr>
          <w:p w14:paraId="7695EF5E" w14:textId="77777777" w:rsidR="00B96B4A" w:rsidRPr="00783F18" w:rsidRDefault="00B96B4A" w:rsidP="008001AE">
            <w:pPr>
              <w:widowControl w:val="0"/>
              <w:jc w:val="center"/>
              <w:rPr>
                <w:rFonts w:ascii="Times New Roman" w:hAnsi="Times New Roman" w:cs="Times New Roman"/>
                <w:sz w:val="24"/>
                <w:szCs w:val="24"/>
              </w:rPr>
            </w:pPr>
          </w:p>
        </w:tc>
        <w:tc>
          <w:tcPr>
            <w:tcW w:w="3510" w:type="dxa"/>
            <w:shd w:val="clear" w:color="auto" w:fill="auto"/>
            <w:tcMar>
              <w:top w:w="100" w:type="dxa"/>
              <w:left w:w="100" w:type="dxa"/>
              <w:bottom w:w="100" w:type="dxa"/>
              <w:right w:w="100" w:type="dxa"/>
            </w:tcMar>
          </w:tcPr>
          <w:p w14:paraId="138CBF9F" w14:textId="77777777" w:rsidR="00B96B4A" w:rsidRPr="00783F18" w:rsidRDefault="00B96B4A" w:rsidP="008001AE">
            <w:pPr>
              <w:widowControl w:val="0"/>
              <w:rPr>
                <w:rFonts w:ascii="Times New Roman" w:hAnsi="Times New Roman" w:cs="Times New Roman"/>
                <w:sz w:val="24"/>
                <w:szCs w:val="24"/>
              </w:rPr>
            </w:pPr>
          </w:p>
        </w:tc>
      </w:tr>
    </w:tbl>
    <w:p w14:paraId="26D2F8DE" w14:textId="77777777" w:rsidR="00783F18" w:rsidRPr="00783F18" w:rsidRDefault="00783F18" w:rsidP="00783F18">
      <w:pPr>
        <w:rPr>
          <w:rFonts w:ascii="Times New Roman" w:hAnsi="Times New Roman" w:cs="Times New Roman"/>
          <w:sz w:val="24"/>
          <w:szCs w:val="24"/>
        </w:rPr>
      </w:pPr>
      <w:r w:rsidRPr="00783F18">
        <w:rPr>
          <w:rFonts w:ascii="Times New Roman" w:hAnsi="Times New Roman" w:cs="Times New Roman"/>
          <w:sz w:val="24"/>
          <w:szCs w:val="24"/>
        </w:rPr>
        <w:t>*NNH = number needed to harm</w:t>
      </w:r>
    </w:p>
    <w:p w14:paraId="06A230A6" w14:textId="77777777" w:rsidR="00783F18" w:rsidRPr="00783F18" w:rsidRDefault="00783F18" w:rsidP="00783F18">
      <w:pPr>
        <w:rPr>
          <w:rFonts w:ascii="Times New Roman" w:hAnsi="Times New Roman" w:cs="Times New Roman"/>
          <w:sz w:val="24"/>
          <w:szCs w:val="24"/>
        </w:rPr>
      </w:pPr>
      <w:r w:rsidRPr="00783F18">
        <w:rPr>
          <w:rFonts w:ascii="Times New Roman" w:hAnsi="Times New Roman" w:cs="Times New Roman"/>
          <w:sz w:val="24"/>
          <w:szCs w:val="24"/>
        </w:rPr>
        <w:t>Transmission rate definition, Scenario definition</w:t>
      </w:r>
    </w:p>
    <w:p w14:paraId="1730F52C" w14:textId="77777777" w:rsidR="00783F18" w:rsidRPr="00783F18" w:rsidRDefault="00783F18" w:rsidP="00783F18">
      <w:pPr>
        <w:rPr>
          <w:rFonts w:ascii="Times New Roman" w:hAnsi="Times New Roman" w:cs="Times New Roman"/>
          <w:sz w:val="24"/>
          <w:szCs w:val="24"/>
        </w:rPr>
      </w:pPr>
    </w:p>
    <w:p w14:paraId="4C3A5A8C" w14:textId="1E1DDD03" w:rsidR="00783F18" w:rsidRPr="00783F18" w:rsidRDefault="00783F18" w:rsidP="00783F18">
      <w:pPr>
        <w:rPr>
          <w:rFonts w:ascii="Times New Roman" w:hAnsi="Times New Roman" w:cs="Times New Roman"/>
          <w:b/>
          <w:sz w:val="24"/>
          <w:szCs w:val="24"/>
        </w:rPr>
      </w:pPr>
      <w:r w:rsidRPr="00783F18">
        <w:rPr>
          <w:rFonts w:ascii="Times New Roman" w:hAnsi="Times New Roman" w:cs="Times New Roman"/>
          <w:b/>
          <w:sz w:val="24"/>
          <w:szCs w:val="24"/>
        </w:rPr>
        <w:t xml:space="preserve">Table 2 </w:t>
      </w:r>
      <w:r w:rsidR="002A0E6C" w:rsidRPr="00783F18">
        <w:rPr>
          <w:rFonts w:ascii="Times New Roman" w:hAnsi="Times New Roman" w:cs="Times New Roman"/>
          <w:b/>
          <w:sz w:val="24"/>
          <w:szCs w:val="24"/>
        </w:rPr>
        <w:t>Risks</w:t>
      </w:r>
      <w:r w:rsidR="002A0E6C">
        <w:rPr>
          <w:rFonts w:ascii="Times New Roman" w:hAnsi="Times New Roman" w:cs="Times New Roman"/>
          <w:b/>
          <w:sz w:val="24"/>
          <w:szCs w:val="24"/>
        </w:rPr>
        <w:t xml:space="preserve"> for </w:t>
      </w:r>
      <w:r w:rsidR="002A0E6C">
        <w:rPr>
          <w:rFonts w:ascii="Times New Roman" w:hAnsi="Times New Roman" w:cs="Times New Roman"/>
          <w:b/>
          <w:sz w:val="24"/>
          <w:szCs w:val="24"/>
        </w:rPr>
        <w:t>second</w:t>
      </w:r>
      <w:r w:rsidR="002A0E6C">
        <w:rPr>
          <w:rFonts w:ascii="Times New Roman" w:hAnsi="Times New Roman" w:cs="Times New Roman"/>
          <w:b/>
          <w:sz w:val="24"/>
          <w:szCs w:val="24"/>
        </w:rPr>
        <w:t xml:space="preserve"> set of </w:t>
      </w:r>
      <w:proofErr w:type="gramStart"/>
      <w:r w:rsidR="002A0E6C">
        <w:rPr>
          <w:rFonts w:ascii="Times New Roman" w:hAnsi="Times New Roman" w:cs="Times New Roman"/>
          <w:b/>
          <w:sz w:val="24"/>
          <w:szCs w:val="24"/>
        </w:rPr>
        <w:t>comparator</w:t>
      </w:r>
      <w:proofErr w:type="gramEnd"/>
      <w:r w:rsidR="002A0E6C">
        <w:rPr>
          <w:rFonts w:ascii="Times New Roman" w:hAnsi="Times New Roman" w:cs="Times New Roman"/>
          <w:b/>
          <w:sz w:val="24"/>
          <w:szCs w:val="24"/>
        </w:rPr>
        <w:t>, subgroup, transmission rate and scenario</w:t>
      </w:r>
    </w:p>
    <w:tbl>
      <w:tblPr>
        <w:tblW w:w="11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0"/>
        <w:gridCol w:w="1080"/>
        <w:gridCol w:w="1080"/>
        <w:gridCol w:w="990"/>
        <w:gridCol w:w="1080"/>
        <w:gridCol w:w="1080"/>
        <w:gridCol w:w="1060"/>
        <w:gridCol w:w="3510"/>
      </w:tblGrid>
      <w:tr w:rsidR="00B96B4A" w:rsidRPr="00783F18" w14:paraId="470EF28C" w14:textId="77777777" w:rsidTr="00D046C0">
        <w:trPr>
          <w:trHeight w:val="460"/>
        </w:trPr>
        <w:tc>
          <w:tcPr>
            <w:tcW w:w="1520" w:type="dxa"/>
            <w:shd w:val="clear" w:color="auto" w:fill="auto"/>
            <w:tcMar>
              <w:top w:w="100" w:type="dxa"/>
              <w:left w:w="100" w:type="dxa"/>
              <w:bottom w:w="100" w:type="dxa"/>
              <w:right w:w="100" w:type="dxa"/>
            </w:tcMar>
          </w:tcPr>
          <w:p w14:paraId="75B08439" w14:textId="77777777" w:rsidR="00B96B4A" w:rsidRPr="00783F18" w:rsidRDefault="00B96B4A" w:rsidP="008001AE">
            <w:pPr>
              <w:widowControl w:val="0"/>
              <w:rPr>
                <w:rFonts w:ascii="Times New Roman" w:hAnsi="Times New Roman" w:cs="Times New Roman"/>
                <w:b/>
                <w:sz w:val="24"/>
                <w:szCs w:val="24"/>
              </w:rPr>
            </w:pPr>
          </w:p>
        </w:tc>
        <w:tc>
          <w:tcPr>
            <w:tcW w:w="6370" w:type="dxa"/>
            <w:gridSpan w:val="6"/>
            <w:shd w:val="clear" w:color="auto" w:fill="auto"/>
            <w:tcMar>
              <w:top w:w="100" w:type="dxa"/>
              <w:left w:w="100" w:type="dxa"/>
              <w:bottom w:w="100" w:type="dxa"/>
              <w:right w:w="100" w:type="dxa"/>
            </w:tcMar>
          </w:tcPr>
          <w:p w14:paraId="0FCD76F8" w14:textId="77777777" w:rsidR="00B96B4A" w:rsidRPr="00783F18" w:rsidRDefault="00B96B4A" w:rsidP="008001AE">
            <w:pPr>
              <w:widowControl w:val="0"/>
              <w:jc w:val="center"/>
              <w:rPr>
                <w:rFonts w:ascii="Times New Roman" w:hAnsi="Times New Roman" w:cs="Times New Roman"/>
                <w:b/>
                <w:sz w:val="24"/>
                <w:szCs w:val="24"/>
              </w:rPr>
            </w:pPr>
            <w:r w:rsidRPr="00783F18">
              <w:rPr>
                <w:rFonts w:ascii="Times New Roman" w:hAnsi="Times New Roman" w:cs="Times New Roman"/>
                <w:b/>
                <w:sz w:val="24"/>
                <w:szCs w:val="24"/>
              </w:rPr>
              <w:t>Proportion or Rate (/1,000,000)</w:t>
            </w:r>
          </w:p>
        </w:tc>
        <w:tc>
          <w:tcPr>
            <w:tcW w:w="3510" w:type="dxa"/>
            <w:shd w:val="clear" w:color="auto" w:fill="auto"/>
            <w:tcMar>
              <w:top w:w="100" w:type="dxa"/>
              <w:left w:w="100" w:type="dxa"/>
              <w:bottom w:w="100" w:type="dxa"/>
              <w:right w:w="100" w:type="dxa"/>
            </w:tcMar>
          </w:tcPr>
          <w:p w14:paraId="08913E48" w14:textId="77777777" w:rsidR="00B96B4A" w:rsidRPr="00783F18" w:rsidRDefault="00B96B4A" w:rsidP="008001AE">
            <w:pPr>
              <w:widowControl w:val="0"/>
              <w:rPr>
                <w:rFonts w:ascii="Times New Roman" w:hAnsi="Times New Roman" w:cs="Times New Roman"/>
                <w:b/>
                <w:sz w:val="24"/>
                <w:szCs w:val="24"/>
              </w:rPr>
            </w:pPr>
          </w:p>
        </w:tc>
      </w:tr>
      <w:tr w:rsidR="00B96B4A" w:rsidRPr="00783F18" w14:paraId="4EB34908" w14:textId="77777777" w:rsidTr="00D046C0">
        <w:trPr>
          <w:trHeight w:val="843"/>
        </w:trPr>
        <w:tc>
          <w:tcPr>
            <w:tcW w:w="1520" w:type="dxa"/>
            <w:shd w:val="clear" w:color="auto" w:fill="auto"/>
            <w:tcMar>
              <w:top w:w="100" w:type="dxa"/>
              <w:left w:w="100" w:type="dxa"/>
              <w:bottom w:w="100" w:type="dxa"/>
              <w:right w:w="100" w:type="dxa"/>
            </w:tcMar>
          </w:tcPr>
          <w:p w14:paraId="237BCD03" w14:textId="77777777"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Endpoint</w:t>
            </w:r>
          </w:p>
        </w:tc>
        <w:tc>
          <w:tcPr>
            <w:tcW w:w="1080" w:type="dxa"/>
            <w:shd w:val="clear" w:color="auto" w:fill="auto"/>
            <w:tcMar>
              <w:top w:w="100" w:type="dxa"/>
              <w:left w:w="100" w:type="dxa"/>
              <w:bottom w:w="100" w:type="dxa"/>
              <w:right w:w="100" w:type="dxa"/>
            </w:tcMar>
          </w:tcPr>
          <w:p w14:paraId="5F74B1FF" w14:textId="77777777"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Vaccine</w:t>
            </w:r>
          </w:p>
        </w:tc>
        <w:tc>
          <w:tcPr>
            <w:tcW w:w="1080" w:type="dxa"/>
            <w:shd w:val="clear" w:color="auto" w:fill="auto"/>
            <w:tcMar>
              <w:top w:w="100" w:type="dxa"/>
              <w:left w:w="100" w:type="dxa"/>
              <w:bottom w:w="100" w:type="dxa"/>
              <w:right w:w="100" w:type="dxa"/>
            </w:tcMar>
          </w:tcPr>
          <w:p w14:paraId="1ADD6F89" w14:textId="77777777"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 xml:space="preserve">Comparator </w:t>
            </w:r>
          </w:p>
        </w:tc>
        <w:tc>
          <w:tcPr>
            <w:tcW w:w="990" w:type="dxa"/>
            <w:shd w:val="clear" w:color="auto" w:fill="auto"/>
            <w:tcMar>
              <w:top w:w="100" w:type="dxa"/>
              <w:left w:w="100" w:type="dxa"/>
              <w:bottom w:w="100" w:type="dxa"/>
              <w:right w:w="100" w:type="dxa"/>
            </w:tcMar>
          </w:tcPr>
          <w:p w14:paraId="3C0CA3D3" w14:textId="77777777"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Cases caused</w:t>
            </w:r>
          </w:p>
        </w:tc>
        <w:tc>
          <w:tcPr>
            <w:tcW w:w="1080" w:type="dxa"/>
            <w:shd w:val="clear" w:color="auto" w:fill="auto"/>
            <w:tcMar>
              <w:top w:w="100" w:type="dxa"/>
              <w:left w:w="100" w:type="dxa"/>
              <w:bottom w:w="100" w:type="dxa"/>
              <w:right w:w="100" w:type="dxa"/>
            </w:tcMar>
          </w:tcPr>
          <w:p w14:paraId="4BF5B350" w14:textId="696DD3C0"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95% CI low</w:t>
            </w:r>
            <w:r>
              <w:rPr>
                <w:rFonts w:ascii="Times New Roman" w:hAnsi="Times New Roman" w:cs="Times New Roman"/>
                <w:b/>
                <w:sz w:val="24"/>
                <w:szCs w:val="24"/>
              </w:rPr>
              <w:t>er limit</w:t>
            </w:r>
          </w:p>
        </w:tc>
        <w:tc>
          <w:tcPr>
            <w:tcW w:w="1080" w:type="dxa"/>
            <w:shd w:val="clear" w:color="auto" w:fill="auto"/>
            <w:tcMar>
              <w:top w:w="100" w:type="dxa"/>
              <w:left w:w="100" w:type="dxa"/>
              <w:bottom w:w="100" w:type="dxa"/>
              <w:right w:w="100" w:type="dxa"/>
            </w:tcMar>
          </w:tcPr>
          <w:p w14:paraId="2BECDFDA" w14:textId="5B256BA6"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 xml:space="preserve">95% CI </w:t>
            </w:r>
            <w:r>
              <w:rPr>
                <w:rFonts w:ascii="Times New Roman" w:hAnsi="Times New Roman" w:cs="Times New Roman"/>
                <w:b/>
                <w:sz w:val="24"/>
                <w:szCs w:val="24"/>
              </w:rPr>
              <w:t>upper limit</w:t>
            </w:r>
          </w:p>
        </w:tc>
        <w:tc>
          <w:tcPr>
            <w:tcW w:w="1060" w:type="dxa"/>
            <w:shd w:val="clear" w:color="auto" w:fill="auto"/>
            <w:tcMar>
              <w:top w:w="100" w:type="dxa"/>
              <w:left w:w="100" w:type="dxa"/>
              <w:bottom w:w="100" w:type="dxa"/>
              <w:right w:w="100" w:type="dxa"/>
            </w:tcMar>
          </w:tcPr>
          <w:p w14:paraId="3954753A" w14:textId="77777777"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NNH*</w:t>
            </w:r>
          </w:p>
        </w:tc>
        <w:tc>
          <w:tcPr>
            <w:tcW w:w="3510" w:type="dxa"/>
            <w:shd w:val="clear" w:color="auto" w:fill="auto"/>
            <w:tcMar>
              <w:top w:w="100" w:type="dxa"/>
              <w:left w:w="100" w:type="dxa"/>
              <w:bottom w:w="100" w:type="dxa"/>
              <w:right w:w="100" w:type="dxa"/>
            </w:tcMar>
          </w:tcPr>
          <w:p w14:paraId="4E4F2E62" w14:textId="02D04F6D" w:rsidR="00B96B4A" w:rsidRPr="00783F18" w:rsidRDefault="00B96B4A" w:rsidP="008001AE">
            <w:pPr>
              <w:widowControl w:val="0"/>
              <w:rPr>
                <w:rFonts w:ascii="Times New Roman" w:hAnsi="Times New Roman" w:cs="Times New Roman"/>
                <w:b/>
                <w:sz w:val="24"/>
                <w:szCs w:val="24"/>
              </w:rPr>
            </w:pPr>
            <w:r w:rsidRPr="00783F18">
              <w:rPr>
                <w:rFonts w:ascii="Times New Roman" w:hAnsi="Times New Roman" w:cs="Times New Roman"/>
                <w:b/>
                <w:sz w:val="24"/>
                <w:szCs w:val="24"/>
              </w:rPr>
              <w:t>Notes, Uncertainty and Strength of Evidence</w:t>
            </w:r>
          </w:p>
        </w:tc>
      </w:tr>
      <w:tr w:rsidR="00B96B4A" w:rsidRPr="00783F18" w14:paraId="5527F3D7" w14:textId="77777777" w:rsidTr="00D046C0">
        <w:trPr>
          <w:trHeight w:val="141"/>
        </w:trPr>
        <w:tc>
          <w:tcPr>
            <w:tcW w:w="1520" w:type="dxa"/>
            <w:shd w:val="clear" w:color="auto" w:fill="auto"/>
            <w:tcMar>
              <w:top w:w="100" w:type="dxa"/>
              <w:left w:w="100" w:type="dxa"/>
              <w:bottom w:w="100" w:type="dxa"/>
              <w:right w:w="100" w:type="dxa"/>
            </w:tcMar>
          </w:tcPr>
          <w:p w14:paraId="4F05932B" w14:textId="77777777" w:rsidR="00B96B4A" w:rsidRPr="00783F18" w:rsidRDefault="00B96B4A" w:rsidP="008001AE">
            <w:pPr>
              <w:widowControl w:val="0"/>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23EBBB9A" w14:textId="77777777" w:rsidR="00B96B4A" w:rsidRPr="00783F18" w:rsidRDefault="00B96B4A" w:rsidP="008001AE">
            <w:pPr>
              <w:widowControl w:val="0"/>
              <w:jc w:val="center"/>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2588DAC3" w14:textId="77777777" w:rsidR="00B96B4A" w:rsidRPr="00783F18" w:rsidRDefault="00B96B4A" w:rsidP="008001AE">
            <w:pPr>
              <w:widowControl w:val="0"/>
              <w:jc w:val="center"/>
              <w:rPr>
                <w:rFonts w:ascii="Times New Roman" w:hAnsi="Times New Roman" w:cs="Times New Roman"/>
                <w:sz w:val="24"/>
                <w:szCs w:val="24"/>
              </w:rPr>
            </w:pPr>
          </w:p>
        </w:tc>
        <w:tc>
          <w:tcPr>
            <w:tcW w:w="990" w:type="dxa"/>
            <w:shd w:val="clear" w:color="auto" w:fill="auto"/>
            <w:tcMar>
              <w:top w:w="100" w:type="dxa"/>
              <w:left w:w="100" w:type="dxa"/>
              <w:bottom w:w="100" w:type="dxa"/>
              <w:right w:w="100" w:type="dxa"/>
            </w:tcMar>
          </w:tcPr>
          <w:p w14:paraId="0E3D4030" w14:textId="77777777" w:rsidR="00B96B4A" w:rsidRPr="00783F18" w:rsidRDefault="00B96B4A" w:rsidP="008001AE">
            <w:pPr>
              <w:widowControl w:val="0"/>
              <w:jc w:val="center"/>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5ED420A4" w14:textId="77777777" w:rsidR="00B96B4A" w:rsidRPr="00783F18" w:rsidRDefault="00B96B4A" w:rsidP="008001AE">
            <w:pPr>
              <w:widowControl w:val="0"/>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0AF51E0E" w14:textId="77777777" w:rsidR="00B96B4A" w:rsidRPr="00783F18" w:rsidRDefault="00B96B4A" w:rsidP="008001AE">
            <w:pPr>
              <w:widowControl w:val="0"/>
              <w:rPr>
                <w:rFonts w:ascii="Times New Roman" w:hAnsi="Times New Roman" w:cs="Times New Roman"/>
                <w:sz w:val="24"/>
                <w:szCs w:val="24"/>
              </w:rPr>
            </w:pPr>
          </w:p>
        </w:tc>
        <w:tc>
          <w:tcPr>
            <w:tcW w:w="1060" w:type="dxa"/>
            <w:shd w:val="clear" w:color="auto" w:fill="auto"/>
            <w:tcMar>
              <w:top w:w="100" w:type="dxa"/>
              <w:left w:w="100" w:type="dxa"/>
              <w:bottom w:w="100" w:type="dxa"/>
              <w:right w:w="100" w:type="dxa"/>
            </w:tcMar>
          </w:tcPr>
          <w:p w14:paraId="788EB6D4" w14:textId="77777777" w:rsidR="00B96B4A" w:rsidRPr="00783F18" w:rsidRDefault="00B96B4A" w:rsidP="008001AE">
            <w:pPr>
              <w:widowControl w:val="0"/>
              <w:jc w:val="center"/>
              <w:rPr>
                <w:rFonts w:ascii="Times New Roman" w:hAnsi="Times New Roman" w:cs="Times New Roman"/>
                <w:sz w:val="24"/>
                <w:szCs w:val="24"/>
              </w:rPr>
            </w:pPr>
          </w:p>
        </w:tc>
        <w:tc>
          <w:tcPr>
            <w:tcW w:w="3510" w:type="dxa"/>
            <w:shd w:val="clear" w:color="auto" w:fill="auto"/>
            <w:tcMar>
              <w:top w:w="100" w:type="dxa"/>
              <w:left w:w="100" w:type="dxa"/>
              <w:bottom w:w="100" w:type="dxa"/>
              <w:right w:w="100" w:type="dxa"/>
            </w:tcMar>
          </w:tcPr>
          <w:p w14:paraId="6ED0A3C7" w14:textId="77777777" w:rsidR="00B96B4A" w:rsidRPr="00783F18" w:rsidRDefault="00B96B4A" w:rsidP="008001AE">
            <w:pPr>
              <w:widowControl w:val="0"/>
              <w:rPr>
                <w:rFonts w:ascii="Times New Roman" w:hAnsi="Times New Roman" w:cs="Times New Roman"/>
                <w:sz w:val="24"/>
                <w:szCs w:val="24"/>
              </w:rPr>
            </w:pPr>
          </w:p>
        </w:tc>
      </w:tr>
      <w:tr w:rsidR="00B96B4A" w:rsidRPr="00783F18" w14:paraId="545A34F3" w14:textId="77777777" w:rsidTr="00D046C0">
        <w:trPr>
          <w:trHeight w:val="96"/>
        </w:trPr>
        <w:tc>
          <w:tcPr>
            <w:tcW w:w="1520" w:type="dxa"/>
            <w:shd w:val="clear" w:color="auto" w:fill="auto"/>
            <w:tcMar>
              <w:top w:w="100" w:type="dxa"/>
              <w:left w:w="100" w:type="dxa"/>
              <w:bottom w:w="100" w:type="dxa"/>
              <w:right w:w="100" w:type="dxa"/>
            </w:tcMar>
          </w:tcPr>
          <w:p w14:paraId="78C26455" w14:textId="77777777" w:rsidR="00B96B4A" w:rsidRPr="00783F18" w:rsidRDefault="00B96B4A" w:rsidP="008001AE">
            <w:pPr>
              <w:widowControl w:val="0"/>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548FF9ED" w14:textId="77777777" w:rsidR="00B96B4A" w:rsidRPr="00783F18" w:rsidRDefault="00B96B4A" w:rsidP="008001AE">
            <w:pPr>
              <w:widowControl w:val="0"/>
              <w:jc w:val="center"/>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3273EC6A" w14:textId="77777777" w:rsidR="00B96B4A" w:rsidRPr="00783F18" w:rsidRDefault="00B96B4A" w:rsidP="008001AE">
            <w:pPr>
              <w:widowControl w:val="0"/>
              <w:jc w:val="center"/>
              <w:rPr>
                <w:rFonts w:ascii="Times New Roman" w:hAnsi="Times New Roman" w:cs="Times New Roman"/>
                <w:sz w:val="24"/>
                <w:szCs w:val="24"/>
              </w:rPr>
            </w:pPr>
          </w:p>
        </w:tc>
        <w:tc>
          <w:tcPr>
            <w:tcW w:w="990" w:type="dxa"/>
            <w:shd w:val="clear" w:color="auto" w:fill="auto"/>
            <w:tcMar>
              <w:top w:w="100" w:type="dxa"/>
              <w:left w:w="100" w:type="dxa"/>
              <w:bottom w:w="100" w:type="dxa"/>
              <w:right w:w="100" w:type="dxa"/>
            </w:tcMar>
          </w:tcPr>
          <w:p w14:paraId="244166E4" w14:textId="77777777" w:rsidR="00B96B4A" w:rsidRPr="00783F18" w:rsidRDefault="00B96B4A" w:rsidP="008001AE">
            <w:pPr>
              <w:widowControl w:val="0"/>
              <w:jc w:val="center"/>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7C14FE22" w14:textId="77777777" w:rsidR="00B96B4A" w:rsidRPr="00783F18" w:rsidRDefault="00B96B4A" w:rsidP="008001AE">
            <w:pPr>
              <w:widowControl w:val="0"/>
              <w:rPr>
                <w:rFonts w:ascii="Times New Roman" w:hAnsi="Times New Roman" w:cs="Times New Roman"/>
                <w:sz w:val="24"/>
                <w:szCs w:val="24"/>
              </w:rPr>
            </w:pPr>
          </w:p>
        </w:tc>
        <w:tc>
          <w:tcPr>
            <w:tcW w:w="1080" w:type="dxa"/>
            <w:shd w:val="clear" w:color="auto" w:fill="auto"/>
            <w:tcMar>
              <w:top w:w="100" w:type="dxa"/>
              <w:left w:w="100" w:type="dxa"/>
              <w:bottom w:w="100" w:type="dxa"/>
              <w:right w:w="100" w:type="dxa"/>
            </w:tcMar>
          </w:tcPr>
          <w:p w14:paraId="4C665F3A" w14:textId="77777777" w:rsidR="00B96B4A" w:rsidRPr="00783F18" w:rsidRDefault="00B96B4A" w:rsidP="008001AE">
            <w:pPr>
              <w:widowControl w:val="0"/>
              <w:rPr>
                <w:rFonts w:ascii="Times New Roman" w:hAnsi="Times New Roman" w:cs="Times New Roman"/>
                <w:sz w:val="24"/>
                <w:szCs w:val="24"/>
              </w:rPr>
            </w:pPr>
          </w:p>
        </w:tc>
        <w:tc>
          <w:tcPr>
            <w:tcW w:w="1060" w:type="dxa"/>
            <w:shd w:val="clear" w:color="auto" w:fill="auto"/>
            <w:tcMar>
              <w:top w:w="100" w:type="dxa"/>
              <w:left w:w="100" w:type="dxa"/>
              <w:bottom w:w="100" w:type="dxa"/>
              <w:right w:w="100" w:type="dxa"/>
            </w:tcMar>
          </w:tcPr>
          <w:p w14:paraId="0E601E19" w14:textId="77777777" w:rsidR="00B96B4A" w:rsidRPr="00783F18" w:rsidRDefault="00B96B4A" w:rsidP="008001AE">
            <w:pPr>
              <w:widowControl w:val="0"/>
              <w:jc w:val="center"/>
              <w:rPr>
                <w:rFonts w:ascii="Times New Roman" w:hAnsi="Times New Roman" w:cs="Times New Roman"/>
                <w:sz w:val="24"/>
                <w:szCs w:val="24"/>
              </w:rPr>
            </w:pPr>
          </w:p>
        </w:tc>
        <w:tc>
          <w:tcPr>
            <w:tcW w:w="3510" w:type="dxa"/>
            <w:shd w:val="clear" w:color="auto" w:fill="auto"/>
            <w:tcMar>
              <w:top w:w="100" w:type="dxa"/>
              <w:left w:w="100" w:type="dxa"/>
              <w:bottom w:w="100" w:type="dxa"/>
              <w:right w:w="100" w:type="dxa"/>
            </w:tcMar>
          </w:tcPr>
          <w:p w14:paraId="02C4D634" w14:textId="77777777" w:rsidR="00B96B4A" w:rsidRPr="00783F18" w:rsidRDefault="00B96B4A" w:rsidP="008001AE">
            <w:pPr>
              <w:widowControl w:val="0"/>
              <w:rPr>
                <w:rFonts w:ascii="Times New Roman" w:hAnsi="Times New Roman" w:cs="Times New Roman"/>
                <w:sz w:val="24"/>
                <w:szCs w:val="24"/>
              </w:rPr>
            </w:pPr>
          </w:p>
        </w:tc>
      </w:tr>
    </w:tbl>
    <w:p w14:paraId="23AE20A1" w14:textId="77777777" w:rsidR="00783F18" w:rsidRPr="00783F18" w:rsidRDefault="00783F18" w:rsidP="00783F18">
      <w:pPr>
        <w:rPr>
          <w:rFonts w:ascii="Times New Roman" w:hAnsi="Times New Roman" w:cs="Times New Roman"/>
          <w:sz w:val="24"/>
          <w:szCs w:val="24"/>
        </w:rPr>
      </w:pPr>
      <w:r w:rsidRPr="00783F18">
        <w:rPr>
          <w:rFonts w:ascii="Times New Roman" w:hAnsi="Times New Roman" w:cs="Times New Roman"/>
          <w:sz w:val="24"/>
          <w:szCs w:val="24"/>
        </w:rPr>
        <w:t>*NNH = number needed to harm</w:t>
      </w:r>
    </w:p>
    <w:p w14:paraId="6A267C81" w14:textId="77777777" w:rsidR="00783F18" w:rsidRPr="00783F18" w:rsidRDefault="00783F18" w:rsidP="00783F18">
      <w:pPr>
        <w:rPr>
          <w:rFonts w:ascii="Times New Roman" w:hAnsi="Times New Roman" w:cs="Times New Roman"/>
          <w:sz w:val="24"/>
          <w:szCs w:val="24"/>
        </w:rPr>
      </w:pPr>
      <w:r w:rsidRPr="00783F18">
        <w:rPr>
          <w:rFonts w:ascii="Times New Roman" w:hAnsi="Times New Roman" w:cs="Times New Roman"/>
          <w:sz w:val="24"/>
          <w:szCs w:val="24"/>
        </w:rPr>
        <w:t>Transmission rate definition, Scenario definition</w:t>
      </w:r>
    </w:p>
    <w:p w14:paraId="61834DA8" w14:textId="77777777" w:rsidR="00783F18" w:rsidRPr="00783F18" w:rsidRDefault="00783F18" w:rsidP="00783F18">
      <w:pPr>
        <w:rPr>
          <w:rFonts w:ascii="Times New Roman" w:hAnsi="Times New Roman" w:cs="Times New Roman"/>
          <w:sz w:val="24"/>
          <w:szCs w:val="24"/>
        </w:rPr>
      </w:pPr>
    </w:p>
    <w:p w14:paraId="05471C59" w14:textId="43AF378C" w:rsidR="00783F18" w:rsidRPr="00783F18" w:rsidRDefault="00783F18" w:rsidP="00783F18">
      <w:pPr>
        <w:rPr>
          <w:rFonts w:ascii="Times New Roman" w:hAnsi="Times New Roman" w:cs="Times New Roman"/>
          <w:b/>
          <w:sz w:val="24"/>
          <w:szCs w:val="24"/>
        </w:rPr>
      </w:pPr>
      <w:r w:rsidRPr="00783F18">
        <w:rPr>
          <w:rFonts w:ascii="Times New Roman" w:hAnsi="Times New Roman" w:cs="Times New Roman"/>
          <w:b/>
          <w:sz w:val="24"/>
          <w:szCs w:val="24"/>
        </w:rPr>
        <w:t xml:space="preserve">Table 3 </w:t>
      </w:r>
      <w:r w:rsidR="002A0E6C" w:rsidRPr="00783F18">
        <w:rPr>
          <w:rFonts w:ascii="Times New Roman" w:hAnsi="Times New Roman" w:cs="Times New Roman"/>
          <w:b/>
          <w:sz w:val="24"/>
          <w:szCs w:val="24"/>
        </w:rPr>
        <w:t>Risks</w:t>
      </w:r>
      <w:r w:rsidR="002A0E6C">
        <w:rPr>
          <w:rFonts w:ascii="Times New Roman" w:hAnsi="Times New Roman" w:cs="Times New Roman"/>
          <w:b/>
          <w:sz w:val="24"/>
          <w:szCs w:val="24"/>
        </w:rPr>
        <w:t xml:space="preserve"> for </w:t>
      </w:r>
      <w:r w:rsidR="002A0E6C">
        <w:rPr>
          <w:rFonts w:ascii="Times New Roman" w:hAnsi="Times New Roman" w:cs="Times New Roman"/>
          <w:b/>
          <w:sz w:val="24"/>
          <w:szCs w:val="24"/>
        </w:rPr>
        <w:t>third</w:t>
      </w:r>
      <w:r w:rsidR="002A0E6C">
        <w:rPr>
          <w:rFonts w:ascii="Times New Roman" w:hAnsi="Times New Roman" w:cs="Times New Roman"/>
          <w:b/>
          <w:sz w:val="24"/>
          <w:szCs w:val="24"/>
        </w:rPr>
        <w:t xml:space="preserve"> set of </w:t>
      </w:r>
      <w:proofErr w:type="gramStart"/>
      <w:r w:rsidR="002A0E6C">
        <w:rPr>
          <w:rFonts w:ascii="Times New Roman" w:hAnsi="Times New Roman" w:cs="Times New Roman"/>
          <w:b/>
          <w:sz w:val="24"/>
          <w:szCs w:val="24"/>
        </w:rPr>
        <w:t>comparator</w:t>
      </w:r>
      <w:proofErr w:type="gramEnd"/>
      <w:r w:rsidR="002A0E6C">
        <w:rPr>
          <w:rFonts w:ascii="Times New Roman" w:hAnsi="Times New Roman" w:cs="Times New Roman"/>
          <w:b/>
          <w:sz w:val="24"/>
          <w:szCs w:val="24"/>
        </w:rPr>
        <w:t>, subgroup, transmission rate and scenario</w:t>
      </w:r>
    </w:p>
    <w:p w14:paraId="006D7E4A" w14:textId="77777777" w:rsidR="00783F18" w:rsidRDefault="00783F18" w:rsidP="00783F18">
      <w:pPr>
        <w:rPr>
          <w:rFonts w:ascii="Times New Roman" w:hAnsi="Times New Roman" w:cs="Times New Roman"/>
          <w:b/>
          <w:sz w:val="24"/>
          <w:szCs w:val="24"/>
        </w:rPr>
      </w:pPr>
      <w:r w:rsidRPr="00783F18">
        <w:rPr>
          <w:rFonts w:ascii="Times New Roman" w:hAnsi="Times New Roman" w:cs="Times New Roman"/>
          <w:b/>
          <w:sz w:val="24"/>
          <w:szCs w:val="24"/>
        </w:rPr>
        <w:t>…</w:t>
      </w:r>
    </w:p>
    <w:p w14:paraId="31B90379" w14:textId="77777777" w:rsidR="007A4B7F" w:rsidRDefault="007A4B7F" w:rsidP="00783F18">
      <w:pPr>
        <w:rPr>
          <w:rFonts w:ascii="Times New Roman" w:hAnsi="Times New Roman" w:cs="Times New Roman"/>
          <w:b/>
          <w:sz w:val="24"/>
          <w:szCs w:val="24"/>
        </w:rPr>
      </w:pPr>
    </w:p>
    <w:p w14:paraId="77635246" w14:textId="77777777" w:rsidR="007A4B7F" w:rsidRDefault="007A4B7F" w:rsidP="007A4B7F">
      <w:pPr>
        <w:keepNext/>
        <w:rPr>
          <w:rFonts w:ascii="Times New Roman" w:hAnsi="Times New Roman" w:cs="Times New Roman"/>
          <w:b/>
          <w:sz w:val="24"/>
          <w:szCs w:val="24"/>
        </w:rPr>
      </w:pPr>
    </w:p>
    <w:tbl>
      <w:tblPr>
        <w:tblStyle w:val="TableGrid"/>
        <w:tblpPr w:leftFromText="180" w:rightFromText="180" w:vertAnchor="text" w:horzAnchor="margin" w:tblpY="315"/>
        <w:tblW w:w="0" w:type="auto"/>
        <w:tblLook w:val="04A0" w:firstRow="1" w:lastRow="0" w:firstColumn="1" w:lastColumn="0" w:noHBand="0" w:noVBand="1"/>
      </w:tblPr>
      <w:tblGrid>
        <w:gridCol w:w="3485"/>
        <w:gridCol w:w="3485"/>
        <w:gridCol w:w="4365"/>
      </w:tblGrid>
      <w:tr w:rsidR="00A02022" w14:paraId="552D1B09" w14:textId="77777777" w:rsidTr="003C3BD4">
        <w:tc>
          <w:tcPr>
            <w:tcW w:w="3485" w:type="dxa"/>
          </w:tcPr>
          <w:p w14:paraId="7AC5794F" w14:textId="77777777" w:rsidR="00A02022" w:rsidRDefault="00A02022" w:rsidP="00F87410">
            <w:pPr>
              <w:widowControl w:val="0"/>
              <w:spacing w:line="276" w:lineRule="auto"/>
              <w:rPr>
                <w:b/>
                <w:sz w:val="24"/>
                <w:szCs w:val="24"/>
              </w:rPr>
            </w:pPr>
            <w:r>
              <w:rPr>
                <w:b/>
                <w:sz w:val="24"/>
                <w:szCs w:val="24"/>
              </w:rPr>
              <w:t>Mitigation</w:t>
            </w:r>
          </w:p>
        </w:tc>
        <w:tc>
          <w:tcPr>
            <w:tcW w:w="3485" w:type="dxa"/>
          </w:tcPr>
          <w:p w14:paraId="04CBCDEE" w14:textId="77777777" w:rsidR="00A02022" w:rsidRDefault="00A02022" w:rsidP="00F87410">
            <w:pPr>
              <w:widowControl w:val="0"/>
              <w:spacing w:line="276" w:lineRule="auto"/>
              <w:rPr>
                <w:b/>
                <w:sz w:val="24"/>
                <w:szCs w:val="24"/>
              </w:rPr>
            </w:pPr>
            <w:r>
              <w:rPr>
                <w:b/>
                <w:sz w:val="24"/>
                <w:szCs w:val="24"/>
              </w:rPr>
              <w:t>Endpoints Affected</w:t>
            </w:r>
          </w:p>
        </w:tc>
        <w:tc>
          <w:tcPr>
            <w:tcW w:w="4365" w:type="dxa"/>
          </w:tcPr>
          <w:p w14:paraId="19A7CB40" w14:textId="77777777" w:rsidR="00A02022" w:rsidRDefault="00A02022" w:rsidP="00F87410">
            <w:pPr>
              <w:widowControl w:val="0"/>
              <w:spacing w:line="276" w:lineRule="auto"/>
              <w:rPr>
                <w:b/>
                <w:sz w:val="24"/>
                <w:szCs w:val="24"/>
              </w:rPr>
            </w:pPr>
            <w:r w:rsidRPr="00783F18">
              <w:rPr>
                <w:b/>
                <w:sz w:val="24"/>
                <w:szCs w:val="24"/>
              </w:rPr>
              <w:t>Notes, Uncertainty and Strength of Evidence</w:t>
            </w:r>
          </w:p>
        </w:tc>
      </w:tr>
      <w:tr w:rsidR="00A02022" w14:paraId="48656BCA" w14:textId="77777777" w:rsidTr="003C3BD4">
        <w:tc>
          <w:tcPr>
            <w:tcW w:w="3485" w:type="dxa"/>
          </w:tcPr>
          <w:p w14:paraId="3E72F85E" w14:textId="77777777" w:rsidR="00A02022" w:rsidRDefault="00A02022" w:rsidP="00F87410">
            <w:pPr>
              <w:widowControl w:val="0"/>
              <w:spacing w:line="276" w:lineRule="auto"/>
              <w:rPr>
                <w:b/>
                <w:sz w:val="24"/>
                <w:szCs w:val="24"/>
              </w:rPr>
            </w:pPr>
          </w:p>
        </w:tc>
        <w:tc>
          <w:tcPr>
            <w:tcW w:w="3485" w:type="dxa"/>
          </w:tcPr>
          <w:p w14:paraId="5BAF0EA8" w14:textId="77777777" w:rsidR="00A02022" w:rsidRDefault="00A02022" w:rsidP="00F87410">
            <w:pPr>
              <w:widowControl w:val="0"/>
              <w:spacing w:line="276" w:lineRule="auto"/>
              <w:rPr>
                <w:b/>
                <w:sz w:val="24"/>
                <w:szCs w:val="24"/>
              </w:rPr>
            </w:pPr>
          </w:p>
        </w:tc>
        <w:tc>
          <w:tcPr>
            <w:tcW w:w="4365" w:type="dxa"/>
          </w:tcPr>
          <w:p w14:paraId="65D21B12" w14:textId="77777777" w:rsidR="00A02022" w:rsidRDefault="00A02022" w:rsidP="00F87410">
            <w:pPr>
              <w:widowControl w:val="0"/>
              <w:spacing w:line="276" w:lineRule="auto"/>
              <w:rPr>
                <w:b/>
                <w:sz w:val="24"/>
                <w:szCs w:val="24"/>
              </w:rPr>
            </w:pPr>
          </w:p>
        </w:tc>
      </w:tr>
      <w:tr w:rsidR="00A02022" w14:paraId="63102DB3" w14:textId="77777777" w:rsidTr="003C3BD4">
        <w:tc>
          <w:tcPr>
            <w:tcW w:w="3485" w:type="dxa"/>
          </w:tcPr>
          <w:p w14:paraId="75E4ED96" w14:textId="77777777" w:rsidR="00A02022" w:rsidRDefault="00A02022" w:rsidP="00F87410">
            <w:pPr>
              <w:widowControl w:val="0"/>
              <w:spacing w:line="276" w:lineRule="auto"/>
              <w:rPr>
                <w:b/>
                <w:sz w:val="24"/>
                <w:szCs w:val="24"/>
              </w:rPr>
            </w:pPr>
          </w:p>
        </w:tc>
        <w:tc>
          <w:tcPr>
            <w:tcW w:w="3485" w:type="dxa"/>
          </w:tcPr>
          <w:p w14:paraId="6A7B7F16" w14:textId="77777777" w:rsidR="00A02022" w:rsidRDefault="00A02022" w:rsidP="00F87410">
            <w:pPr>
              <w:widowControl w:val="0"/>
              <w:spacing w:line="276" w:lineRule="auto"/>
              <w:rPr>
                <w:b/>
                <w:sz w:val="24"/>
                <w:szCs w:val="24"/>
              </w:rPr>
            </w:pPr>
          </w:p>
        </w:tc>
        <w:tc>
          <w:tcPr>
            <w:tcW w:w="4365" w:type="dxa"/>
          </w:tcPr>
          <w:p w14:paraId="1EC768E7" w14:textId="77777777" w:rsidR="00A02022" w:rsidRDefault="00A02022" w:rsidP="00F87410">
            <w:pPr>
              <w:widowControl w:val="0"/>
              <w:spacing w:line="276" w:lineRule="auto"/>
              <w:rPr>
                <w:b/>
                <w:sz w:val="24"/>
                <w:szCs w:val="24"/>
              </w:rPr>
            </w:pPr>
          </w:p>
        </w:tc>
      </w:tr>
    </w:tbl>
    <w:p w14:paraId="7EB60650" w14:textId="77777777" w:rsidR="00A02022" w:rsidRDefault="00A02022" w:rsidP="00A02022">
      <w:pPr>
        <w:widowControl w:val="0"/>
        <w:pBdr>
          <w:top w:val="nil"/>
          <w:left w:val="nil"/>
          <w:bottom w:val="nil"/>
          <w:right w:val="nil"/>
          <w:between w:val="nil"/>
        </w:pBdr>
        <w:spacing w:line="276" w:lineRule="auto"/>
        <w:rPr>
          <w:rFonts w:ascii="Times New Roman" w:hAnsi="Times New Roman" w:cs="Times New Roman"/>
          <w:b/>
          <w:sz w:val="24"/>
          <w:szCs w:val="24"/>
        </w:rPr>
      </w:pPr>
      <w:r>
        <w:rPr>
          <w:rFonts w:ascii="Times New Roman" w:hAnsi="Times New Roman" w:cs="Times New Roman"/>
          <w:b/>
          <w:sz w:val="24"/>
          <w:szCs w:val="24"/>
        </w:rPr>
        <w:t xml:space="preserve"> Mitigations for Risks</w:t>
      </w:r>
    </w:p>
    <w:p w14:paraId="281D268C" w14:textId="77777777" w:rsidR="00A02022" w:rsidRDefault="00A02022" w:rsidP="00A02022">
      <w:pPr>
        <w:widowControl w:val="0"/>
        <w:pBdr>
          <w:top w:val="nil"/>
          <w:left w:val="nil"/>
          <w:bottom w:val="nil"/>
          <w:right w:val="nil"/>
          <w:between w:val="nil"/>
        </w:pBdr>
        <w:spacing w:line="276" w:lineRule="auto"/>
        <w:rPr>
          <w:rFonts w:ascii="Times New Roman" w:hAnsi="Times New Roman" w:cs="Times New Roman"/>
          <w:b/>
          <w:sz w:val="24"/>
          <w:szCs w:val="24"/>
        </w:rPr>
      </w:pPr>
    </w:p>
    <w:p w14:paraId="14172E8B" w14:textId="6378A2A3" w:rsidR="007A4B7F" w:rsidRPr="00783F18" w:rsidRDefault="007A4B7F" w:rsidP="003A164E">
      <w:pPr>
        <w:keepNext/>
        <w:rPr>
          <w:rFonts w:ascii="Times New Roman" w:hAnsi="Times New Roman" w:cs="Times New Roman"/>
          <w:b/>
          <w:sz w:val="24"/>
          <w:szCs w:val="24"/>
        </w:rPr>
        <w:sectPr w:rsidR="007A4B7F" w:rsidRPr="00783F18">
          <w:pgSz w:w="16838" w:h="11906" w:orient="landscape"/>
          <w:pgMar w:top="1440" w:right="1440" w:bottom="1440" w:left="1440" w:header="708" w:footer="708" w:gutter="0"/>
          <w:cols w:space="720"/>
        </w:sectPr>
      </w:pPr>
    </w:p>
    <w:tbl>
      <w:tblPr>
        <w:tblW w:w="10420" w:type="dxa"/>
        <w:tblInd w:w="-1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420"/>
      </w:tblGrid>
      <w:tr w:rsidR="00783F18" w:rsidRPr="00783F18" w14:paraId="354F6FB8" w14:textId="77777777" w:rsidTr="008001AE">
        <w:tc>
          <w:tcPr>
            <w:tcW w:w="10420" w:type="dxa"/>
            <w:shd w:val="clear" w:color="auto" w:fill="FFFF99"/>
          </w:tcPr>
          <w:p w14:paraId="268A8002" w14:textId="77777777" w:rsidR="00783F18" w:rsidRPr="00783F18" w:rsidRDefault="00783F18" w:rsidP="008001AE">
            <w:pPr>
              <w:rPr>
                <w:rFonts w:ascii="Times New Roman" w:hAnsi="Times New Roman" w:cs="Times New Roman"/>
                <w:b/>
                <w:sz w:val="24"/>
                <w:szCs w:val="24"/>
              </w:rPr>
            </w:pPr>
          </w:p>
          <w:p w14:paraId="2A5D9CFA"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Section 7: Clinical impact / weighting</w:t>
            </w:r>
            <w:r w:rsidRPr="00783F18">
              <w:rPr>
                <w:rFonts w:ascii="Times New Roman" w:hAnsi="Times New Roman" w:cs="Times New Roman"/>
                <w:sz w:val="24"/>
                <w:szCs w:val="24"/>
              </w:rPr>
              <w:t xml:space="preserve">: </w:t>
            </w:r>
            <w:r w:rsidRPr="00783F18">
              <w:rPr>
                <w:rFonts w:ascii="Times New Roman" w:hAnsi="Times New Roman" w:cs="Times New Roman"/>
                <w:b/>
                <w:sz w:val="24"/>
                <w:szCs w:val="24"/>
              </w:rPr>
              <w:t>(optional)</w:t>
            </w:r>
          </w:p>
          <w:p w14:paraId="645BEAE6" w14:textId="77777777" w:rsidR="00783F18" w:rsidRPr="00783F18" w:rsidRDefault="00783F18" w:rsidP="005A7F99">
            <w:pPr>
              <w:spacing w:after="0" w:line="240" w:lineRule="auto"/>
              <w:rPr>
                <w:rFonts w:ascii="Times New Roman" w:hAnsi="Times New Roman" w:cs="Times New Roman"/>
                <w:sz w:val="24"/>
                <w:szCs w:val="24"/>
              </w:rPr>
            </w:pPr>
          </w:p>
        </w:tc>
      </w:tr>
    </w:tbl>
    <w:p w14:paraId="437DAA7A" w14:textId="77777777" w:rsidR="00783F18" w:rsidRPr="00783F18" w:rsidRDefault="00783F18" w:rsidP="00783F18">
      <w:pPr>
        <w:rPr>
          <w:rFonts w:ascii="Times New Roman" w:hAnsi="Times New Roman" w:cs="Times New Roman"/>
          <w:sz w:val="24"/>
          <w:szCs w:val="24"/>
        </w:rPr>
      </w:pPr>
    </w:p>
    <w:p w14:paraId="33AF2025" w14:textId="1C9DA497"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Patient or general population preference data, if available and relevant, or other measures of the weight or clinical impact of each event. (e.g., relative importance of endpoints, maximum acceptable risk, choice share, preference subgroups)</w:t>
      </w:r>
      <w:r w:rsidR="003A164E">
        <w:rPr>
          <w:rFonts w:ascii="Times New Roman" w:hAnsi="Times New Roman" w:cs="Times New Roman"/>
          <w:sz w:val="24"/>
          <w:szCs w:val="24"/>
        </w:rPr>
        <w:t xml:space="preserve">.  </w:t>
      </w:r>
      <w:r w:rsidRPr="00783F18">
        <w:rPr>
          <w:rFonts w:ascii="Times New Roman" w:hAnsi="Times New Roman" w:cs="Times New Roman"/>
          <w:sz w:val="24"/>
          <w:szCs w:val="24"/>
        </w:rPr>
        <w:t>If preference data is used, a report on the assessment should be attached to this completed module.</w:t>
      </w:r>
    </w:p>
    <w:p w14:paraId="6070F77E" w14:textId="77777777"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Note that patient and population preferences in LMIC and HIC may differ substantially.</w:t>
      </w:r>
    </w:p>
    <w:p w14:paraId="68D3849F" w14:textId="77777777" w:rsidR="00783F18" w:rsidRPr="00783F18" w:rsidRDefault="00783F18" w:rsidP="00783F18">
      <w:pPr>
        <w:rPr>
          <w:rFonts w:ascii="Times New Roman" w:hAnsi="Times New Roman" w:cs="Times New Roman"/>
          <w:b/>
          <w:sz w:val="24"/>
          <w:szCs w:val="24"/>
        </w:rPr>
      </w:pPr>
    </w:p>
    <w:tbl>
      <w:tblPr>
        <w:tblW w:w="901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85"/>
        <w:gridCol w:w="1731"/>
      </w:tblGrid>
      <w:tr w:rsidR="00783F18" w:rsidRPr="00783F18" w14:paraId="1F1ECA96" w14:textId="77777777" w:rsidTr="008001AE">
        <w:tc>
          <w:tcPr>
            <w:tcW w:w="7285" w:type="dxa"/>
          </w:tcPr>
          <w:p w14:paraId="1593BE87"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Question</w:t>
            </w:r>
          </w:p>
        </w:tc>
        <w:tc>
          <w:tcPr>
            <w:tcW w:w="1731" w:type="dxa"/>
          </w:tcPr>
          <w:p w14:paraId="6000F0B2"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Responses</w:t>
            </w:r>
          </w:p>
        </w:tc>
      </w:tr>
      <w:tr w:rsidR="00783F18" w:rsidRPr="00783F18" w14:paraId="5C928A89" w14:textId="77777777" w:rsidTr="008001AE">
        <w:tc>
          <w:tcPr>
            <w:tcW w:w="7285" w:type="dxa"/>
          </w:tcPr>
          <w:p w14:paraId="7B4EA1DF"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Is (or will) a preference study being used to support the B-R assessment</w:t>
            </w:r>
          </w:p>
        </w:tc>
        <w:tc>
          <w:tcPr>
            <w:tcW w:w="1731" w:type="dxa"/>
          </w:tcPr>
          <w:p w14:paraId="12A4EFDC"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Yes / no</w:t>
            </w:r>
          </w:p>
        </w:tc>
      </w:tr>
      <w:tr w:rsidR="00783F18" w:rsidRPr="00783F18" w14:paraId="40D41B3F" w14:textId="77777777" w:rsidTr="008001AE">
        <w:trPr>
          <w:trHeight w:val="394"/>
        </w:trPr>
        <w:tc>
          <w:tcPr>
            <w:tcW w:w="9016" w:type="dxa"/>
            <w:gridSpan w:val="2"/>
          </w:tcPr>
          <w:p w14:paraId="7CD98BC6" w14:textId="77777777" w:rsidR="00783F18" w:rsidRP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If yes:</w:t>
            </w:r>
          </w:p>
        </w:tc>
      </w:tr>
      <w:tr w:rsidR="00783F18" w:rsidRPr="00783F18" w14:paraId="341EA22B" w14:textId="77777777" w:rsidTr="008001AE">
        <w:tc>
          <w:tcPr>
            <w:tcW w:w="7285" w:type="dxa"/>
          </w:tcPr>
          <w:p w14:paraId="24262484" w14:textId="77777777" w:rsidR="00783F18" w:rsidRPr="00783F18" w:rsidRDefault="00783F18" w:rsidP="008001AE">
            <w:pPr>
              <w:ind w:left="720"/>
              <w:rPr>
                <w:rFonts w:ascii="Times New Roman" w:hAnsi="Times New Roman" w:cs="Times New Roman"/>
                <w:sz w:val="24"/>
                <w:szCs w:val="24"/>
              </w:rPr>
            </w:pPr>
            <w:r w:rsidRPr="00783F18">
              <w:rPr>
                <w:rFonts w:ascii="Times New Roman" w:hAnsi="Times New Roman" w:cs="Times New Roman"/>
                <w:sz w:val="24"/>
                <w:szCs w:val="24"/>
              </w:rPr>
              <w:t>Whose preferences were assessed? (e.g., Subjects with acute onset of disease)</w:t>
            </w:r>
          </w:p>
        </w:tc>
        <w:tc>
          <w:tcPr>
            <w:tcW w:w="1731" w:type="dxa"/>
          </w:tcPr>
          <w:p w14:paraId="6653B39E" w14:textId="77777777" w:rsidR="00783F18" w:rsidRPr="00783F18" w:rsidRDefault="00783F18" w:rsidP="008001AE">
            <w:pPr>
              <w:rPr>
                <w:rFonts w:ascii="Times New Roman" w:hAnsi="Times New Roman" w:cs="Times New Roman"/>
                <w:sz w:val="24"/>
                <w:szCs w:val="24"/>
              </w:rPr>
            </w:pPr>
          </w:p>
        </w:tc>
      </w:tr>
      <w:tr w:rsidR="00783F18" w:rsidRPr="00783F18" w14:paraId="3F7800BA" w14:textId="77777777" w:rsidTr="008001AE">
        <w:tc>
          <w:tcPr>
            <w:tcW w:w="7285" w:type="dxa"/>
          </w:tcPr>
          <w:p w14:paraId="1640296F" w14:textId="77777777" w:rsidR="00783F18" w:rsidRPr="00783F18" w:rsidRDefault="00783F18" w:rsidP="008001AE">
            <w:pPr>
              <w:ind w:left="720"/>
              <w:rPr>
                <w:rFonts w:ascii="Times New Roman" w:hAnsi="Times New Roman" w:cs="Times New Roman"/>
                <w:sz w:val="24"/>
                <w:szCs w:val="24"/>
              </w:rPr>
            </w:pPr>
            <w:r w:rsidRPr="00783F18">
              <w:rPr>
                <w:rFonts w:ascii="Times New Roman" w:hAnsi="Times New Roman" w:cs="Times New Roman"/>
                <w:sz w:val="24"/>
                <w:szCs w:val="24"/>
              </w:rPr>
              <w:t>Research question addressed with study</w:t>
            </w:r>
          </w:p>
        </w:tc>
        <w:tc>
          <w:tcPr>
            <w:tcW w:w="1731" w:type="dxa"/>
          </w:tcPr>
          <w:p w14:paraId="36824AB0" w14:textId="77777777" w:rsidR="00783F18" w:rsidRPr="00783F18" w:rsidRDefault="00783F18" w:rsidP="008001AE">
            <w:pPr>
              <w:rPr>
                <w:rFonts w:ascii="Times New Roman" w:hAnsi="Times New Roman" w:cs="Times New Roman"/>
                <w:sz w:val="24"/>
                <w:szCs w:val="24"/>
              </w:rPr>
            </w:pPr>
          </w:p>
        </w:tc>
      </w:tr>
      <w:tr w:rsidR="00783F18" w:rsidRPr="00783F18" w14:paraId="7BA12549" w14:textId="77777777" w:rsidTr="008001AE">
        <w:tc>
          <w:tcPr>
            <w:tcW w:w="7285" w:type="dxa"/>
          </w:tcPr>
          <w:p w14:paraId="79C0C1A6" w14:textId="77777777" w:rsidR="00783F18" w:rsidRPr="00783F18" w:rsidRDefault="00783F18" w:rsidP="008001AE">
            <w:pPr>
              <w:ind w:left="720"/>
              <w:rPr>
                <w:rFonts w:ascii="Times New Roman" w:hAnsi="Times New Roman" w:cs="Times New Roman"/>
                <w:sz w:val="24"/>
                <w:szCs w:val="24"/>
              </w:rPr>
            </w:pPr>
            <w:r w:rsidRPr="00783F18">
              <w:rPr>
                <w:rFonts w:ascii="Times New Roman" w:hAnsi="Times New Roman" w:cs="Times New Roman"/>
                <w:sz w:val="24"/>
                <w:szCs w:val="24"/>
              </w:rPr>
              <w:t>What preference method was used? (e.g., qualitative interviews, discrete choice experiment)</w:t>
            </w:r>
          </w:p>
        </w:tc>
        <w:tc>
          <w:tcPr>
            <w:tcW w:w="1731" w:type="dxa"/>
          </w:tcPr>
          <w:p w14:paraId="72D1F496" w14:textId="77777777" w:rsidR="00783F18" w:rsidRPr="00783F18" w:rsidRDefault="00783F18" w:rsidP="008001AE">
            <w:pPr>
              <w:rPr>
                <w:rFonts w:ascii="Times New Roman" w:hAnsi="Times New Roman" w:cs="Times New Roman"/>
                <w:sz w:val="24"/>
                <w:szCs w:val="24"/>
              </w:rPr>
            </w:pPr>
          </w:p>
        </w:tc>
      </w:tr>
      <w:tr w:rsidR="00783F18" w:rsidRPr="00783F18" w14:paraId="5588C0C1" w14:textId="77777777" w:rsidTr="008001AE">
        <w:tc>
          <w:tcPr>
            <w:tcW w:w="7285" w:type="dxa"/>
          </w:tcPr>
          <w:p w14:paraId="70205907" w14:textId="77777777" w:rsidR="00783F18" w:rsidRPr="00783F18" w:rsidRDefault="00783F18" w:rsidP="008001AE">
            <w:pPr>
              <w:ind w:left="720"/>
              <w:rPr>
                <w:rFonts w:ascii="Times New Roman" w:hAnsi="Times New Roman" w:cs="Times New Roman"/>
                <w:sz w:val="24"/>
                <w:szCs w:val="24"/>
              </w:rPr>
            </w:pPr>
            <w:r w:rsidRPr="00783F18">
              <w:rPr>
                <w:rFonts w:ascii="Times New Roman" w:hAnsi="Times New Roman" w:cs="Times New Roman"/>
                <w:sz w:val="24"/>
                <w:szCs w:val="24"/>
              </w:rPr>
              <w:t>Summary of key results used to support the B-R assessment</w:t>
            </w:r>
          </w:p>
        </w:tc>
        <w:tc>
          <w:tcPr>
            <w:tcW w:w="1731" w:type="dxa"/>
          </w:tcPr>
          <w:p w14:paraId="240456F5" w14:textId="77777777" w:rsidR="00783F18" w:rsidRPr="00783F18" w:rsidRDefault="00783F18" w:rsidP="008001AE">
            <w:pPr>
              <w:rPr>
                <w:rFonts w:ascii="Times New Roman" w:hAnsi="Times New Roman" w:cs="Times New Roman"/>
                <w:sz w:val="24"/>
                <w:szCs w:val="24"/>
              </w:rPr>
            </w:pPr>
          </w:p>
        </w:tc>
      </w:tr>
      <w:tr w:rsidR="00783F18" w:rsidRPr="00783F18" w14:paraId="136F1FC7" w14:textId="77777777" w:rsidTr="008001AE">
        <w:tc>
          <w:tcPr>
            <w:tcW w:w="7285" w:type="dxa"/>
          </w:tcPr>
          <w:p w14:paraId="7A579E73" w14:textId="77777777" w:rsidR="00783F18" w:rsidRPr="00783F18" w:rsidRDefault="00783F18" w:rsidP="008001AE">
            <w:pPr>
              <w:ind w:left="720"/>
              <w:rPr>
                <w:rFonts w:ascii="Times New Roman" w:hAnsi="Times New Roman" w:cs="Times New Roman"/>
                <w:sz w:val="24"/>
                <w:szCs w:val="24"/>
              </w:rPr>
            </w:pPr>
            <w:r w:rsidRPr="00783F18">
              <w:rPr>
                <w:rFonts w:ascii="Times New Roman" w:hAnsi="Times New Roman" w:cs="Times New Roman"/>
                <w:sz w:val="24"/>
                <w:szCs w:val="24"/>
              </w:rPr>
              <w:t xml:space="preserve">Publication or report on preference </w:t>
            </w:r>
            <w:proofErr w:type="gramStart"/>
            <w:r w:rsidRPr="00783F18">
              <w:rPr>
                <w:rFonts w:ascii="Times New Roman" w:hAnsi="Times New Roman" w:cs="Times New Roman"/>
                <w:sz w:val="24"/>
                <w:szCs w:val="24"/>
              </w:rPr>
              <w:t>study, if</w:t>
            </w:r>
            <w:proofErr w:type="gramEnd"/>
            <w:r w:rsidRPr="00783F18">
              <w:rPr>
                <w:rFonts w:ascii="Times New Roman" w:hAnsi="Times New Roman" w:cs="Times New Roman"/>
                <w:sz w:val="24"/>
                <w:szCs w:val="24"/>
              </w:rPr>
              <w:t xml:space="preserve"> any</w:t>
            </w:r>
          </w:p>
        </w:tc>
        <w:tc>
          <w:tcPr>
            <w:tcW w:w="1731" w:type="dxa"/>
          </w:tcPr>
          <w:p w14:paraId="0E66A907" w14:textId="77777777" w:rsidR="00783F18" w:rsidRPr="00783F18" w:rsidRDefault="00783F18" w:rsidP="008001AE">
            <w:pPr>
              <w:rPr>
                <w:rFonts w:ascii="Times New Roman" w:hAnsi="Times New Roman" w:cs="Times New Roman"/>
                <w:sz w:val="24"/>
                <w:szCs w:val="24"/>
              </w:rPr>
            </w:pPr>
          </w:p>
        </w:tc>
      </w:tr>
    </w:tbl>
    <w:p w14:paraId="2922CB8B" w14:textId="77777777" w:rsidR="00783F18" w:rsidRPr="00783F18" w:rsidRDefault="00783F18" w:rsidP="00783F18">
      <w:pPr>
        <w:rPr>
          <w:rFonts w:ascii="Times New Roman" w:hAnsi="Times New Roman" w:cs="Times New Roman"/>
          <w:b/>
          <w:sz w:val="24"/>
          <w:szCs w:val="24"/>
        </w:rPr>
      </w:pPr>
    </w:p>
    <w:tbl>
      <w:tblPr>
        <w:tblW w:w="10420" w:type="dxa"/>
        <w:tblInd w:w="-1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420"/>
      </w:tblGrid>
      <w:tr w:rsidR="00783F18" w:rsidRPr="00783F18" w14:paraId="1CE09B2F" w14:textId="77777777" w:rsidTr="008001AE">
        <w:tc>
          <w:tcPr>
            <w:tcW w:w="10420" w:type="dxa"/>
            <w:shd w:val="clear" w:color="auto" w:fill="FFFF99"/>
          </w:tcPr>
          <w:p w14:paraId="36E75A74" w14:textId="77777777" w:rsidR="00783F18" w:rsidRPr="00783F18" w:rsidRDefault="00783F18" w:rsidP="008001AE">
            <w:pPr>
              <w:rPr>
                <w:rFonts w:ascii="Times New Roman" w:hAnsi="Times New Roman" w:cs="Times New Roman"/>
                <w:b/>
                <w:sz w:val="24"/>
                <w:szCs w:val="24"/>
              </w:rPr>
            </w:pPr>
          </w:p>
          <w:p w14:paraId="6485EE81" w14:textId="77777777" w:rsidR="00783F18" w:rsidRPr="00783F18" w:rsidRDefault="00783F18" w:rsidP="008001AE">
            <w:pPr>
              <w:rPr>
                <w:rFonts w:ascii="Times New Roman" w:hAnsi="Times New Roman" w:cs="Times New Roman"/>
                <w:b/>
                <w:sz w:val="24"/>
                <w:szCs w:val="24"/>
              </w:rPr>
            </w:pPr>
            <w:r w:rsidRPr="00783F18">
              <w:rPr>
                <w:rFonts w:ascii="Times New Roman" w:hAnsi="Times New Roman" w:cs="Times New Roman"/>
                <w:b/>
                <w:sz w:val="24"/>
                <w:szCs w:val="24"/>
              </w:rPr>
              <w:t>Section 8: Integrated B-R Assessment</w:t>
            </w:r>
          </w:p>
          <w:p w14:paraId="011BA6F4" w14:textId="77777777" w:rsidR="00783F18" w:rsidRPr="00783F18" w:rsidRDefault="00783F18" w:rsidP="005A7F99">
            <w:pPr>
              <w:spacing w:after="0" w:line="240" w:lineRule="auto"/>
              <w:rPr>
                <w:rFonts w:ascii="Times New Roman" w:hAnsi="Times New Roman" w:cs="Times New Roman"/>
                <w:sz w:val="24"/>
                <w:szCs w:val="24"/>
              </w:rPr>
            </w:pPr>
          </w:p>
        </w:tc>
      </w:tr>
    </w:tbl>
    <w:p w14:paraId="6FAE2AEC" w14:textId="77777777" w:rsidR="00783F18" w:rsidRPr="00783F18" w:rsidRDefault="00783F18" w:rsidP="00783F18">
      <w:pPr>
        <w:rPr>
          <w:rFonts w:ascii="Times New Roman" w:hAnsi="Times New Roman" w:cs="Times New Roman"/>
          <w:sz w:val="24"/>
          <w:szCs w:val="24"/>
        </w:rPr>
      </w:pPr>
    </w:p>
    <w:p w14:paraId="403CAAE8" w14:textId="5C203EE4"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Using the information and evidence in all prior sections, provide a cogent, transparent, defensible assessment of whether benefits outweigh risks.</w:t>
      </w:r>
    </w:p>
    <w:p w14:paraId="1CB02E88" w14:textId="25852797"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Typically, vaccine B-R uses tabular and graphical summaries of benefits and risks that show cases prevented and cases caused for all key benefits and risks. The summaries are the</w:t>
      </w:r>
      <w:r w:rsidR="00907EE2">
        <w:rPr>
          <w:rFonts w:ascii="Times New Roman" w:hAnsi="Times New Roman" w:cs="Times New Roman"/>
          <w:sz w:val="24"/>
          <w:szCs w:val="24"/>
        </w:rPr>
        <w:t>n</w:t>
      </w:r>
      <w:r w:rsidRPr="00783F18">
        <w:rPr>
          <w:rFonts w:ascii="Times New Roman" w:hAnsi="Times New Roman" w:cs="Times New Roman"/>
          <w:sz w:val="24"/>
          <w:szCs w:val="24"/>
        </w:rPr>
        <w:t xml:space="preserve"> interpreted cumulatively using clinical judgment to assess the clinical impact of the various cases prevented and events caused. One </w:t>
      </w:r>
      <w:r w:rsidRPr="00783F18">
        <w:rPr>
          <w:rFonts w:ascii="Times New Roman" w:hAnsi="Times New Roman" w:cs="Times New Roman"/>
          <w:sz w:val="24"/>
          <w:szCs w:val="24"/>
        </w:rPr>
        <w:lastRenderedPageBreak/>
        <w:t>simple example would be to present tables/figures comparing the number of disease-associated hospitalizations and deaths prevented by vaccinating a given population with the number of adverse events-associated hospitalizations and deaths caused by the vaccine in the same population during the pre-specified time period.</w:t>
      </w:r>
    </w:p>
    <w:p w14:paraId="49809141" w14:textId="5F534C6E"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When this module is being used to plan for a B-R assessment, provide mock ups of the planned tables and figures. When this module is used to conduct a B-R assessment, these displays will be populated with the data in sections 5 and 6.</w:t>
      </w:r>
    </w:p>
    <w:p w14:paraId="645159E1" w14:textId="797BB4C6"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 xml:space="preserve">Account for strength of evidence, statistical and other </w:t>
      </w:r>
      <w:r w:rsidR="002E79EE" w:rsidRPr="00783F18">
        <w:rPr>
          <w:rFonts w:ascii="Times New Roman" w:hAnsi="Times New Roman" w:cs="Times New Roman"/>
          <w:sz w:val="24"/>
          <w:szCs w:val="24"/>
        </w:rPr>
        <w:t>uncertainties,</w:t>
      </w:r>
      <w:r w:rsidRPr="00783F18">
        <w:rPr>
          <w:rFonts w:ascii="Times New Roman" w:hAnsi="Times New Roman" w:cs="Times New Roman"/>
          <w:sz w:val="24"/>
          <w:szCs w:val="24"/>
        </w:rPr>
        <w:t xml:space="preserve"> and the context of the severity of the condition and the current unmet medical needs for patients. If the uncertainty is, for example, in the number of deaths caused by the disease that the vaccine is trying to prevent, then present alternative scenarios (sensitivity analyses) showing a best and worst-case scenario. For reporting a B-R assessment, provide a textual description of the user’s interpretation of the B-R data and whether the cumulative effects of benefits outweigh the cumulative effects of the risks. This description should be transparent and defensible to those not steeped in the B-R methodology and should account for strength of evidence, statistical and other </w:t>
      </w:r>
      <w:r w:rsidR="002E79EE" w:rsidRPr="00783F18">
        <w:rPr>
          <w:rFonts w:ascii="Times New Roman" w:hAnsi="Times New Roman" w:cs="Times New Roman"/>
          <w:sz w:val="24"/>
          <w:szCs w:val="24"/>
        </w:rPr>
        <w:t>uncertainties,</w:t>
      </w:r>
      <w:r w:rsidRPr="00783F18">
        <w:rPr>
          <w:rFonts w:ascii="Times New Roman" w:hAnsi="Times New Roman" w:cs="Times New Roman"/>
          <w:sz w:val="24"/>
          <w:szCs w:val="24"/>
        </w:rPr>
        <w:t xml:space="preserve"> and the context of the severity of the condition and the current unmet medical needs for patients.</w:t>
      </w:r>
    </w:p>
    <w:p w14:paraId="22633CAF" w14:textId="221607DD"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Also include the acknowledged limitations of the B-R evaluation, specifying, as much as possible, which potential risks and benefits could not be considered and the reasons why.</w:t>
      </w:r>
      <w:r w:rsidR="000D3A16">
        <w:rPr>
          <w:rFonts w:ascii="Times New Roman" w:hAnsi="Times New Roman" w:cs="Times New Roman"/>
          <w:sz w:val="24"/>
          <w:szCs w:val="24"/>
        </w:rPr>
        <w:t xml:space="preserve">  Note any limitations that may result is a mixture of clinical trial and on epidemiology data are used in the assessment, as trial data may not be representative of </w:t>
      </w:r>
      <w:r w:rsidR="00267A78">
        <w:rPr>
          <w:rFonts w:ascii="Times New Roman" w:hAnsi="Times New Roman" w:cs="Times New Roman"/>
          <w:sz w:val="24"/>
          <w:szCs w:val="24"/>
        </w:rPr>
        <w:t>real-world</w:t>
      </w:r>
      <w:r w:rsidR="000D3A16">
        <w:rPr>
          <w:rFonts w:ascii="Times New Roman" w:hAnsi="Times New Roman" w:cs="Times New Roman"/>
          <w:sz w:val="24"/>
          <w:szCs w:val="24"/>
        </w:rPr>
        <w:t xml:space="preserve"> use.</w:t>
      </w:r>
    </w:p>
    <w:p w14:paraId="496878EF" w14:textId="04593B61" w:rsidR="00783F18" w:rsidRPr="00783F18" w:rsidRDefault="00783F18" w:rsidP="00362430">
      <w:pPr>
        <w:spacing w:line="480" w:lineRule="auto"/>
        <w:ind w:firstLine="720"/>
        <w:rPr>
          <w:rFonts w:ascii="Times New Roman" w:hAnsi="Times New Roman" w:cs="Times New Roman"/>
          <w:sz w:val="24"/>
          <w:szCs w:val="24"/>
        </w:rPr>
      </w:pPr>
      <w:r w:rsidRPr="00783F18">
        <w:rPr>
          <w:rFonts w:ascii="Times New Roman" w:hAnsi="Times New Roman" w:cs="Times New Roman"/>
          <w:sz w:val="24"/>
          <w:szCs w:val="24"/>
        </w:rPr>
        <w:t xml:space="preserve">If appropriate, </w:t>
      </w:r>
      <w:r w:rsidR="00AE5CBC">
        <w:rPr>
          <w:rFonts w:ascii="Times New Roman" w:hAnsi="Times New Roman" w:cs="Times New Roman"/>
          <w:sz w:val="24"/>
          <w:szCs w:val="24"/>
        </w:rPr>
        <w:t xml:space="preserve">a regulatory </w:t>
      </w:r>
      <w:r w:rsidRPr="00783F18">
        <w:rPr>
          <w:rFonts w:ascii="Times New Roman" w:hAnsi="Times New Roman" w:cs="Times New Roman"/>
          <w:sz w:val="24"/>
          <w:szCs w:val="24"/>
        </w:rPr>
        <w:t>benefit-risk framework (Appendix 2) can be used for the integrated B-R assessment</w:t>
      </w:r>
      <w:r w:rsidR="00EC78F2">
        <w:rPr>
          <w:rFonts w:ascii="Times New Roman" w:hAnsi="Times New Roman" w:cs="Times New Roman"/>
          <w:sz w:val="24"/>
          <w:szCs w:val="24"/>
        </w:rPr>
        <w:t xml:space="preserve"> (</w:t>
      </w:r>
      <w:proofErr w:type="gramStart"/>
      <w:r w:rsidR="00EC78F2">
        <w:rPr>
          <w:rFonts w:ascii="Times New Roman" w:hAnsi="Times New Roman" w:cs="Times New Roman"/>
          <w:sz w:val="24"/>
          <w:szCs w:val="24"/>
        </w:rPr>
        <w:t>e.g.</w:t>
      </w:r>
      <w:proofErr w:type="gramEnd"/>
      <w:r w:rsidR="00EC78F2">
        <w:rPr>
          <w:rFonts w:ascii="Times New Roman" w:hAnsi="Times New Roman" w:cs="Times New Roman"/>
          <w:sz w:val="24"/>
          <w:szCs w:val="24"/>
        </w:rPr>
        <w:t xml:space="preserve"> </w:t>
      </w:r>
      <w:hyperlink r:id="rId17">
        <w:r w:rsidRPr="00783F18">
          <w:rPr>
            <w:rFonts w:ascii="Times New Roman" w:hAnsi="Times New Roman" w:cs="Times New Roman"/>
            <w:color w:val="0000FF"/>
            <w:sz w:val="24"/>
            <w:szCs w:val="24"/>
            <w:u w:val="single"/>
          </w:rPr>
          <w:t>https://www.fda.gov/media/152544/download</w:t>
        </w:r>
      </w:hyperlink>
      <w:r w:rsidR="00EC78F2">
        <w:rPr>
          <w:rFonts w:ascii="Times New Roman" w:hAnsi="Times New Roman" w:cs="Times New Roman"/>
          <w:sz w:val="24"/>
          <w:szCs w:val="24"/>
        </w:rPr>
        <w:t>)</w:t>
      </w:r>
      <w:r w:rsidR="00792E0F">
        <w:rPr>
          <w:rFonts w:ascii="Times New Roman" w:hAnsi="Times New Roman" w:cs="Times New Roman"/>
          <w:sz w:val="24"/>
          <w:szCs w:val="24"/>
        </w:rPr>
        <w:t>.</w:t>
      </w:r>
    </w:p>
    <w:p w14:paraId="523DC6EE" w14:textId="77777777" w:rsidR="00783F18" w:rsidRPr="00783F18" w:rsidRDefault="00783F18" w:rsidP="00783F18">
      <w:pPr>
        <w:rPr>
          <w:rFonts w:ascii="Times New Roman" w:hAnsi="Times New Roman" w:cs="Times New Roman"/>
          <w:sz w:val="24"/>
          <w:szCs w:val="24"/>
        </w:rPr>
      </w:pPr>
      <w:r w:rsidRPr="00783F18">
        <w:rPr>
          <w:rFonts w:ascii="Times New Roman" w:hAnsi="Times New Roman" w:cs="Times New Roman"/>
          <w:b/>
          <w:sz w:val="24"/>
          <w:szCs w:val="24"/>
        </w:rPr>
        <w:t>Integrated B-R assessment</w:t>
      </w:r>
    </w:p>
    <w:tbl>
      <w:tblPr>
        <w:tblW w:w="901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83F18" w:rsidRPr="00783F18" w14:paraId="057EB1CB" w14:textId="77777777" w:rsidTr="008001AE">
        <w:tc>
          <w:tcPr>
            <w:tcW w:w="9016" w:type="dxa"/>
          </w:tcPr>
          <w:p w14:paraId="1DA7DA32" w14:textId="77777777" w:rsidR="00783F18" w:rsidRDefault="00783F18" w:rsidP="008001AE">
            <w:pPr>
              <w:rPr>
                <w:rFonts w:ascii="Times New Roman" w:hAnsi="Times New Roman" w:cs="Times New Roman"/>
                <w:sz w:val="24"/>
                <w:szCs w:val="24"/>
              </w:rPr>
            </w:pPr>
            <w:r w:rsidRPr="00783F18">
              <w:rPr>
                <w:rFonts w:ascii="Times New Roman" w:hAnsi="Times New Roman" w:cs="Times New Roman"/>
                <w:sz w:val="24"/>
                <w:szCs w:val="24"/>
              </w:rPr>
              <w:t xml:space="preserve">     </w:t>
            </w:r>
          </w:p>
          <w:p w14:paraId="4FE1ED2D" w14:textId="77777777" w:rsidR="00D407E9" w:rsidRDefault="00D407E9" w:rsidP="008001AE">
            <w:pPr>
              <w:rPr>
                <w:rFonts w:ascii="Times New Roman" w:hAnsi="Times New Roman" w:cs="Times New Roman"/>
                <w:sz w:val="24"/>
                <w:szCs w:val="24"/>
              </w:rPr>
            </w:pPr>
          </w:p>
          <w:p w14:paraId="34BEC657" w14:textId="77777777" w:rsidR="000911D2" w:rsidRDefault="000911D2" w:rsidP="008001AE">
            <w:pPr>
              <w:rPr>
                <w:rFonts w:ascii="Times New Roman" w:hAnsi="Times New Roman" w:cs="Times New Roman"/>
                <w:sz w:val="24"/>
                <w:szCs w:val="24"/>
              </w:rPr>
            </w:pPr>
          </w:p>
          <w:p w14:paraId="3FED1656" w14:textId="2954C964" w:rsidR="000911D2" w:rsidRPr="00783F18" w:rsidRDefault="000911D2" w:rsidP="008001AE">
            <w:pPr>
              <w:rPr>
                <w:rFonts w:ascii="Times New Roman" w:hAnsi="Times New Roman" w:cs="Times New Roman"/>
                <w:sz w:val="24"/>
                <w:szCs w:val="24"/>
              </w:rPr>
            </w:pPr>
          </w:p>
        </w:tc>
      </w:tr>
    </w:tbl>
    <w:p w14:paraId="6B79C14B" w14:textId="1E2DC7D3" w:rsidR="000911D2" w:rsidRDefault="000911D2">
      <w:pPr>
        <w:rPr>
          <w:rFonts w:ascii="Times New Roman" w:hAnsi="Times New Roman" w:cs="Times New Roman"/>
          <w:b/>
          <w:sz w:val="24"/>
          <w:szCs w:val="24"/>
        </w:rPr>
      </w:pPr>
    </w:p>
    <w:p w14:paraId="092771DF" w14:textId="658647B4" w:rsidR="00783F18" w:rsidRPr="00783F18" w:rsidRDefault="00783F18" w:rsidP="005A7F99">
      <w:pPr>
        <w:keepNext/>
        <w:rPr>
          <w:rFonts w:ascii="Times New Roman" w:hAnsi="Times New Roman" w:cs="Times New Roman"/>
          <w:sz w:val="24"/>
          <w:szCs w:val="24"/>
        </w:rPr>
      </w:pPr>
      <w:r w:rsidRPr="00783F18">
        <w:rPr>
          <w:rFonts w:ascii="Times New Roman" w:hAnsi="Times New Roman" w:cs="Times New Roman"/>
          <w:b/>
          <w:sz w:val="24"/>
          <w:szCs w:val="24"/>
        </w:rPr>
        <w:t>Glossary</w:t>
      </w:r>
      <w:r w:rsidRPr="00783F18">
        <w:rPr>
          <w:rFonts w:ascii="Times New Roman" w:hAnsi="Times New Roman" w:cs="Times New Roman"/>
          <w:sz w:val="24"/>
          <w:szCs w:val="24"/>
        </w:rPr>
        <w:t>:</w:t>
      </w:r>
    </w:p>
    <w:p w14:paraId="49482C16" w14:textId="191DA1E4"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Benefit</w:t>
      </w:r>
      <w:r w:rsidRPr="00783F18">
        <w:rPr>
          <w:rFonts w:ascii="Times New Roman" w:hAnsi="Times New Roman" w:cs="Times New Roman"/>
          <w:sz w:val="24"/>
          <w:szCs w:val="24"/>
        </w:rPr>
        <w:t>: Benefits are the favourable effects of a medical product. Most commonly, a benefit is a clinical benefit, a positive clinically meaningful effect of an intervention such as preventing pathogen-induced death, hospitalizations or complications and reducing disease transmission. Benefits may also be patient-reported outcomes or other important characteristics of the medical product, such as the dosing regimen or route of administration that may impact patient compliance.</w:t>
      </w:r>
      <w:r w:rsidR="00BE5BE4" w:rsidRPr="00BE5BE4">
        <w:rPr>
          <w:rFonts w:ascii="Times New Roman" w:hAnsi="Times New Roman" w:cs="Times New Roman"/>
          <w:noProof/>
          <w:sz w:val="24"/>
          <w:szCs w:val="24"/>
          <w:vertAlign w:val="superscript"/>
          <w:lang w:val="en-US"/>
        </w:rPr>
        <w:t>7,19,21-26</w:t>
      </w:r>
      <w:r w:rsidRPr="00783F18">
        <w:rPr>
          <w:rFonts w:ascii="Times New Roman" w:hAnsi="Times New Roman" w:cs="Times New Roman"/>
          <w:sz w:val="24"/>
          <w:szCs w:val="24"/>
          <w:vertAlign w:val="superscript"/>
        </w:rPr>
        <w:t xml:space="preserve"> </w:t>
      </w:r>
    </w:p>
    <w:p w14:paraId="70D02B0B" w14:textId="709F4986"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Benefit-risk (B-R) Assessment</w:t>
      </w:r>
      <w:r w:rsidRPr="00783F18">
        <w:rPr>
          <w:rFonts w:ascii="Times New Roman" w:hAnsi="Times New Roman" w:cs="Times New Roman"/>
          <w:sz w:val="24"/>
          <w:szCs w:val="24"/>
        </w:rPr>
        <w:t>: Evaluation of the demonstrated benefits and risks of a vaccine or medical product and making a judgment as to whether the expected key benefits outweigh the potential key harms associated with its expected use</w:t>
      </w:r>
      <w:r w:rsidR="00671F0F">
        <w:rPr>
          <w:rFonts w:ascii="Times New Roman" w:hAnsi="Times New Roman" w:cs="Times New Roman"/>
          <w:sz w:val="24"/>
          <w:szCs w:val="24"/>
        </w:rPr>
        <w:t>.</w:t>
      </w:r>
      <w:r w:rsidR="00BE5BE4" w:rsidRPr="00BE5BE4">
        <w:rPr>
          <w:rFonts w:ascii="Times New Roman" w:hAnsi="Times New Roman" w:cs="Times New Roman"/>
          <w:sz w:val="24"/>
          <w:szCs w:val="24"/>
          <w:vertAlign w:val="superscript"/>
        </w:rPr>
        <w:t>7,9,19,21,27-</w:t>
      </w:r>
      <w:proofErr w:type="gramStart"/>
      <w:r w:rsidR="00BE5BE4" w:rsidRPr="00BE5BE4">
        <w:rPr>
          <w:rFonts w:ascii="Times New Roman" w:hAnsi="Times New Roman" w:cs="Times New Roman"/>
          <w:sz w:val="24"/>
          <w:szCs w:val="24"/>
          <w:vertAlign w:val="superscript"/>
        </w:rPr>
        <w:t>29</w:t>
      </w:r>
      <w:proofErr w:type="gramEnd"/>
    </w:p>
    <w:p w14:paraId="7D104A24" w14:textId="2912581A"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bookmarkStart w:id="8" w:name="_heading=h.2et92p0" w:colFirst="0" w:colLast="0"/>
      <w:bookmarkEnd w:id="8"/>
      <w:r w:rsidRPr="00783F18">
        <w:rPr>
          <w:rFonts w:ascii="Times New Roman" w:hAnsi="Times New Roman" w:cs="Times New Roman"/>
          <w:b/>
          <w:sz w:val="24"/>
          <w:szCs w:val="24"/>
        </w:rPr>
        <w:t>Benefit-risk Framework</w:t>
      </w:r>
      <w:r w:rsidRPr="00783F18">
        <w:rPr>
          <w:rFonts w:ascii="Times New Roman" w:hAnsi="Times New Roman" w:cs="Times New Roman"/>
          <w:sz w:val="24"/>
          <w:szCs w:val="24"/>
        </w:rPr>
        <w:t>: A structured approach to conducting a benefit-risk assessment. A framework itself is generic and can be applied to a wide range of assessment. There are several examples in current use, including COBRA (Consortium on Benefit-Risk Assessment), FDA BRF (US FDA Benefit-Risk Framework), SABRE (Southeast Asia Benefit-Risk Evaluation) and PhRMA BRAT/UMBRA (PhRMA Benefit-Risk Action Team / United Methodologies for Benefit-Risk Assessment).</w:t>
      </w:r>
      <w:r w:rsidR="00BE5BE4" w:rsidRPr="00BE5BE4">
        <w:rPr>
          <w:rFonts w:ascii="Times New Roman" w:hAnsi="Times New Roman" w:cs="Times New Roman"/>
          <w:sz w:val="24"/>
          <w:szCs w:val="24"/>
          <w:vertAlign w:val="superscript"/>
        </w:rPr>
        <w:t>8,9,19,22,29,</w:t>
      </w:r>
      <w:proofErr w:type="gramStart"/>
      <w:r w:rsidR="00BE5BE4" w:rsidRPr="00BE5BE4">
        <w:rPr>
          <w:rFonts w:ascii="Times New Roman" w:hAnsi="Times New Roman" w:cs="Times New Roman"/>
          <w:sz w:val="24"/>
          <w:szCs w:val="24"/>
          <w:vertAlign w:val="superscript"/>
        </w:rPr>
        <w:t>30</w:t>
      </w:r>
      <w:proofErr w:type="gramEnd"/>
    </w:p>
    <w:p w14:paraId="74F93EBC" w14:textId="77777777"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Benefit window</w:t>
      </w:r>
      <w:r w:rsidRPr="00783F18">
        <w:rPr>
          <w:rFonts w:ascii="Times New Roman" w:hAnsi="Times New Roman" w:cs="Times New Roman"/>
          <w:sz w:val="24"/>
          <w:szCs w:val="24"/>
        </w:rPr>
        <w:t>: For a specific benefit endpoint, the time after vaccination in which events are included in rate or risk calculations.</w:t>
      </w:r>
    </w:p>
    <w:p w14:paraId="18E8B5A6" w14:textId="64DAF4D2"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Decision context</w:t>
      </w:r>
      <w:r w:rsidRPr="00783F18">
        <w:rPr>
          <w:rFonts w:ascii="Times New Roman" w:hAnsi="Times New Roman" w:cs="Times New Roman"/>
          <w:sz w:val="24"/>
          <w:szCs w:val="24"/>
        </w:rPr>
        <w:t xml:space="preserve">: Defining the circumstances underlying the decision being made. For medical treatment benefit-risk assessment, the decision context typically includes the treatment/dose/regimen, comparators, indication, population, time horizon, decision maker and subgroups of </w:t>
      </w:r>
      <w:r w:rsidR="00BE5BE4">
        <w:rPr>
          <w:rFonts w:ascii="Times New Roman" w:hAnsi="Times New Roman" w:cs="Times New Roman"/>
          <w:sz w:val="24"/>
          <w:szCs w:val="24"/>
        </w:rPr>
        <w:t>interest.</w:t>
      </w:r>
      <w:r w:rsidR="00BE5BE4" w:rsidRPr="00BE5BE4">
        <w:rPr>
          <w:rFonts w:ascii="Times New Roman" w:hAnsi="Times New Roman" w:cs="Times New Roman"/>
          <w:sz w:val="24"/>
          <w:szCs w:val="24"/>
          <w:vertAlign w:val="superscript"/>
        </w:rPr>
        <w:t>8,9,19,22,</w:t>
      </w:r>
      <w:proofErr w:type="gramStart"/>
      <w:r w:rsidR="00BE5BE4" w:rsidRPr="00BE5BE4">
        <w:rPr>
          <w:rFonts w:ascii="Times New Roman" w:hAnsi="Times New Roman" w:cs="Times New Roman"/>
          <w:sz w:val="24"/>
          <w:szCs w:val="24"/>
          <w:vertAlign w:val="superscript"/>
        </w:rPr>
        <w:t>29</w:t>
      </w:r>
      <w:proofErr w:type="gramEnd"/>
    </w:p>
    <w:p w14:paraId="328D64D1" w14:textId="2315D35B"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b/>
          <w:sz w:val="24"/>
          <w:szCs w:val="24"/>
        </w:rPr>
      </w:pPr>
      <w:r w:rsidRPr="00783F18">
        <w:rPr>
          <w:rFonts w:ascii="Times New Roman" w:hAnsi="Times New Roman" w:cs="Times New Roman"/>
          <w:b/>
          <w:sz w:val="24"/>
          <w:szCs w:val="24"/>
        </w:rPr>
        <w:t>Identified (Benefit or Risk) Outcom</w:t>
      </w:r>
      <w:r w:rsidRPr="00604E75">
        <w:rPr>
          <w:rFonts w:ascii="Times New Roman" w:hAnsi="Times New Roman" w:cs="Times New Roman"/>
          <w:b/>
          <w:bCs/>
          <w:sz w:val="24"/>
          <w:szCs w:val="24"/>
        </w:rPr>
        <w:t>e</w:t>
      </w:r>
      <w:r w:rsidRPr="00783F18">
        <w:rPr>
          <w:rFonts w:ascii="Times New Roman" w:hAnsi="Times New Roman" w:cs="Times New Roman"/>
          <w:sz w:val="24"/>
          <w:szCs w:val="24"/>
        </w:rPr>
        <w:t>: Clinical outcomes for which there is sufficient scientific evidence that they are caused by the medicinal product. Evidence may be derived from multiple sources such as non-clinical findings confirmed by clinical data, clinical trials, epidemiological studies, and spontaneous data sources, including published literature</w:t>
      </w:r>
      <w:r w:rsidR="00BE5BE4">
        <w:rPr>
          <w:rFonts w:ascii="Times New Roman" w:hAnsi="Times New Roman" w:cs="Times New Roman"/>
          <w:noProof/>
          <w:sz w:val="24"/>
          <w:szCs w:val="24"/>
          <w:lang w:val="en-US"/>
        </w:rPr>
        <w:t>.</w:t>
      </w:r>
      <w:r w:rsidR="00BE5BE4" w:rsidRPr="00BE5BE4">
        <w:rPr>
          <w:rFonts w:ascii="Times New Roman" w:hAnsi="Times New Roman" w:cs="Times New Roman"/>
          <w:noProof/>
          <w:sz w:val="24"/>
          <w:szCs w:val="24"/>
          <w:vertAlign w:val="superscript"/>
          <w:lang w:val="en-US"/>
        </w:rPr>
        <w:t>25,31</w:t>
      </w:r>
    </w:p>
    <w:p w14:paraId="756172A6" w14:textId="025BA9BF" w:rsidR="00783F18" w:rsidRPr="00783F18" w:rsidRDefault="00783F18" w:rsidP="00362430">
      <w:pPr>
        <w:numPr>
          <w:ilvl w:val="0"/>
          <w:numId w:val="12"/>
        </w:numPr>
        <w:pBdr>
          <w:top w:val="nil"/>
          <w:left w:val="nil"/>
          <w:bottom w:val="nil"/>
          <w:right w:val="nil"/>
          <w:between w:val="nil"/>
        </w:pBd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lastRenderedPageBreak/>
        <w:t xml:space="preserve">Individual level B-R assessment: </w:t>
      </w:r>
      <w:r w:rsidRPr="00783F18">
        <w:rPr>
          <w:rFonts w:ascii="Times New Roman" w:hAnsi="Times New Roman" w:cs="Times New Roman"/>
          <w:sz w:val="24"/>
          <w:szCs w:val="24"/>
        </w:rPr>
        <w:t>Assessments based primarily on the rates and severities of the benefits and risks that an individual experiences</w:t>
      </w:r>
      <w:r w:rsidR="00BE5BE4">
        <w:rPr>
          <w:rFonts w:ascii="Times New Roman" w:hAnsi="Times New Roman" w:cs="Times New Roman"/>
          <w:noProof/>
          <w:sz w:val="24"/>
          <w:szCs w:val="24"/>
          <w:lang w:val="en-US"/>
        </w:rPr>
        <w:t>.</w:t>
      </w:r>
      <w:r w:rsidR="00BE5BE4" w:rsidRPr="00BE5BE4">
        <w:rPr>
          <w:rFonts w:ascii="Times New Roman" w:hAnsi="Times New Roman" w:cs="Times New Roman"/>
          <w:noProof/>
          <w:sz w:val="24"/>
          <w:szCs w:val="24"/>
          <w:vertAlign w:val="superscript"/>
          <w:lang w:val="en-US"/>
        </w:rPr>
        <w:t>26</w:t>
      </w:r>
    </w:p>
    <w:p w14:paraId="36784A82" w14:textId="459FA9C7"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b/>
          <w:sz w:val="24"/>
          <w:szCs w:val="24"/>
        </w:rPr>
      </w:pPr>
      <w:r w:rsidRPr="00783F18">
        <w:rPr>
          <w:rFonts w:ascii="Times New Roman" w:hAnsi="Times New Roman" w:cs="Times New Roman"/>
          <w:b/>
          <w:sz w:val="24"/>
          <w:szCs w:val="24"/>
        </w:rPr>
        <w:t>Key (Benefit or Risk) Outcome</w:t>
      </w:r>
      <w:r w:rsidRPr="00783F18">
        <w:rPr>
          <w:rFonts w:ascii="Times New Roman" w:hAnsi="Times New Roman" w:cs="Times New Roman"/>
          <w:sz w:val="24"/>
          <w:szCs w:val="24"/>
        </w:rPr>
        <w:t>: Outcomes which are likely to have an impact on the Benefit-Risk balance of a therapy</w:t>
      </w:r>
      <w:r w:rsidR="00317AC0">
        <w:rPr>
          <w:rFonts w:ascii="Times New Roman" w:hAnsi="Times New Roman" w:cs="Times New Roman"/>
          <w:sz w:val="24"/>
          <w:szCs w:val="24"/>
        </w:rPr>
        <w:t xml:space="preserve"> or vaccine</w:t>
      </w:r>
      <w:r w:rsidRPr="00783F18">
        <w:rPr>
          <w:rFonts w:ascii="Times New Roman" w:hAnsi="Times New Roman" w:cs="Times New Roman"/>
          <w:sz w:val="24"/>
          <w:szCs w:val="24"/>
        </w:rPr>
        <w:t>.  Key benefit outcomes are favourable effects generally assessed by primary and secondary endpoints across the studies in a development program. Key risk outcomes are unfavourable effects that are important from a clinical and/or public health perspective in terms of their frequency and/or severity and/or seriousness.</w:t>
      </w:r>
      <w:r w:rsidR="00BE5BE4" w:rsidRPr="00BE5BE4">
        <w:rPr>
          <w:rFonts w:ascii="Times New Roman" w:hAnsi="Times New Roman" w:cs="Times New Roman"/>
          <w:sz w:val="24"/>
          <w:szCs w:val="24"/>
          <w:vertAlign w:val="superscript"/>
        </w:rPr>
        <w:t>19,21,</w:t>
      </w:r>
      <w:proofErr w:type="gramStart"/>
      <w:r w:rsidR="00BE5BE4" w:rsidRPr="00BE5BE4">
        <w:rPr>
          <w:rFonts w:ascii="Times New Roman" w:hAnsi="Times New Roman" w:cs="Times New Roman"/>
          <w:sz w:val="24"/>
          <w:szCs w:val="24"/>
          <w:vertAlign w:val="superscript"/>
        </w:rPr>
        <w:t>31</w:t>
      </w:r>
      <w:proofErr w:type="gramEnd"/>
    </w:p>
    <w:p w14:paraId="3FCF2EF9" w14:textId="19411568"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b/>
          <w:sz w:val="24"/>
          <w:szCs w:val="24"/>
        </w:rPr>
      </w:pPr>
      <w:r w:rsidRPr="00783F18">
        <w:rPr>
          <w:rFonts w:ascii="Times New Roman" w:hAnsi="Times New Roman" w:cs="Times New Roman"/>
          <w:b/>
          <w:sz w:val="24"/>
          <w:szCs w:val="24"/>
        </w:rPr>
        <w:t>Non-Key Outcome</w:t>
      </w:r>
      <w:r w:rsidRPr="00783F18">
        <w:rPr>
          <w:rFonts w:ascii="Times New Roman" w:hAnsi="Times New Roman" w:cs="Times New Roman"/>
          <w:sz w:val="24"/>
          <w:szCs w:val="24"/>
        </w:rPr>
        <w:t xml:space="preserve">: Low priority </w:t>
      </w:r>
      <w:r w:rsidR="001367B0">
        <w:rPr>
          <w:rFonts w:ascii="Times New Roman" w:hAnsi="Times New Roman" w:cs="Times New Roman"/>
          <w:sz w:val="24"/>
          <w:szCs w:val="24"/>
        </w:rPr>
        <w:t>o</w:t>
      </w:r>
      <w:r w:rsidR="001367B0" w:rsidRPr="00783F18">
        <w:rPr>
          <w:rFonts w:ascii="Times New Roman" w:hAnsi="Times New Roman" w:cs="Times New Roman"/>
          <w:sz w:val="24"/>
          <w:szCs w:val="24"/>
        </w:rPr>
        <w:t xml:space="preserve">utcomes </w:t>
      </w:r>
      <w:r w:rsidRPr="00783F18">
        <w:rPr>
          <w:rFonts w:ascii="Times New Roman" w:hAnsi="Times New Roman" w:cs="Times New Roman"/>
          <w:sz w:val="24"/>
          <w:szCs w:val="24"/>
        </w:rPr>
        <w:t xml:space="preserve">which do not contribute substantially to selection of therapy by stakeholder (patient, health care provider, Regulatory agency) versus other therapeutic options for the treatment of disease condition in a specific </w:t>
      </w:r>
      <w:proofErr w:type="gramStart"/>
      <w:r w:rsidRPr="00783F18">
        <w:rPr>
          <w:rFonts w:ascii="Times New Roman" w:hAnsi="Times New Roman" w:cs="Times New Roman"/>
          <w:sz w:val="24"/>
          <w:szCs w:val="24"/>
        </w:rPr>
        <w:t>population</w:t>
      </w:r>
      <w:proofErr w:type="gramEnd"/>
    </w:p>
    <w:p w14:paraId="0A49E6D2" w14:textId="55874338"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Number needed to harm (NNH)</w:t>
      </w:r>
      <w:r w:rsidRPr="00783F18">
        <w:rPr>
          <w:rFonts w:ascii="Times New Roman" w:hAnsi="Times New Roman" w:cs="Times New Roman"/>
          <w:sz w:val="24"/>
          <w:szCs w:val="24"/>
        </w:rPr>
        <w:t xml:space="preserve">: Number of individuals that must be vaccinated to see one additional harmful (risk) </w:t>
      </w:r>
      <w:proofErr w:type="gramStart"/>
      <w:r w:rsidRPr="00783F18">
        <w:rPr>
          <w:rFonts w:ascii="Times New Roman" w:hAnsi="Times New Roman" w:cs="Times New Roman"/>
          <w:sz w:val="24"/>
          <w:szCs w:val="24"/>
        </w:rPr>
        <w:t>even</w:t>
      </w:r>
      <w:r w:rsidR="00614640">
        <w:rPr>
          <w:rFonts w:ascii="Times New Roman" w:hAnsi="Times New Roman" w:cs="Times New Roman"/>
          <w:sz w:val="24"/>
          <w:szCs w:val="24"/>
        </w:rPr>
        <w:t>t</w:t>
      </w:r>
      <w:r w:rsidR="00BE5BE4" w:rsidRPr="00BE5BE4">
        <w:rPr>
          <w:rFonts w:ascii="Times New Roman" w:hAnsi="Times New Roman" w:cs="Times New Roman"/>
          <w:noProof/>
          <w:sz w:val="24"/>
          <w:szCs w:val="24"/>
          <w:vertAlign w:val="superscript"/>
          <w:lang w:val="en-US"/>
        </w:rPr>
        <w:t>25</w:t>
      </w:r>
      <w:proofErr w:type="gramEnd"/>
    </w:p>
    <w:p w14:paraId="5028AA07" w14:textId="2EDA82DA"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Number needed to vaccinate (NNV)</w:t>
      </w:r>
      <w:r w:rsidRPr="00783F18">
        <w:rPr>
          <w:rFonts w:ascii="Times New Roman" w:hAnsi="Times New Roman" w:cs="Times New Roman"/>
          <w:sz w:val="24"/>
          <w:szCs w:val="24"/>
        </w:rPr>
        <w:t xml:space="preserve">: Number of individuals that must be vaccinated to prevent one </w:t>
      </w:r>
      <w:r w:rsidR="00317AC0">
        <w:rPr>
          <w:rFonts w:ascii="Times New Roman" w:hAnsi="Times New Roman" w:cs="Times New Roman"/>
          <w:sz w:val="24"/>
          <w:szCs w:val="24"/>
        </w:rPr>
        <w:t xml:space="preserve">additional </w:t>
      </w:r>
      <w:r w:rsidRPr="00783F18">
        <w:rPr>
          <w:rFonts w:ascii="Times New Roman" w:hAnsi="Times New Roman" w:cs="Times New Roman"/>
          <w:sz w:val="24"/>
          <w:szCs w:val="24"/>
        </w:rPr>
        <w:t xml:space="preserve">case of </w:t>
      </w:r>
      <w:proofErr w:type="gramStart"/>
      <w:r w:rsidRPr="00783F18">
        <w:rPr>
          <w:rFonts w:ascii="Times New Roman" w:hAnsi="Times New Roman" w:cs="Times New Roman"/>
          <w:sz w:val="24"/>
          <w:szCs w:val="24"/>
        </w:rPr>
        <w:t>disease</w:t>
      </w:r>
      <w:r w:rsidR="00BE5BE4" w:rsidRPr="00BE5BE4">
        <w:rPr>
          <w:rFonts w:ascii="Times New Roman" w:hAnsi="Times New Roman" w:cs="Times New Roman"/>
          <w:noProof/>
          <w:sz w:val="24"/>
          <w:szCs w:val="24"/>
          <w:vertAlign w:val="superscript"/>
          <w:lang w:val="en-US"/>
        </w:rPr>
        <w:t>25</w:t>
      </w:r>
      <w:proofErr w:type="gramEnd"/>
    </w:p>
    <w:p w14:paraId="430FC109" w14:textId="3609598D" w:rsidR="00783F18" w:rsidRPr="00783F18" w:rsidRDefault="00783F18" w:rsidP="00362430">
      <w:pPr>
        <w:numPr>
          <w:ilvl w:val="0"/>
          <w:numId w:val="12"/>
        </w:numPr>
        <w:pBdr>
          <w:top w:val="nil"/>
          <w:left w:val="nil"/>
          <w:bottom w:val="nil"/>
          <w:right w:val="nil"/>
          <w:between w:val="nil"/>
        </w:pBd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 xml:space="preserve">Population level B-R assessment: </w:t>
      </w:r>
      <w:r w:rsidRPr="00783F18">
        <w:rPr>
          <w:rFonts w:ascii="Times New Roman" w:hAnsi="Times New Roman" w:cs="Times New Roman"/>
          <w:sz w:val="24"/>
          <w:szCs w:val="24"/>
        </w:rPr>
        <w:t xml:space="preserve">B-R models that account for transmission, herd immunity, hesitancy, distribution, </w:t>
      </w:r>
      <w:r w:rsidR="002E79EE" w:rsidRPr="00783F18">
        <w:rPr>
          <w:rFonts w:ascii="Times New Roman" w:hAnsi="Times New Roman" w:cs="Times New Roman"/>
          <w:sz w:val="24"/>
          <w:szCs w:val="24"/>
        </w:rPr>
        <w:t>storage,</w:t>
      </w:r>
      <w:r w:rsidRPr="00783F18">
        <w:rPr>
          <w:rFonts w:ascii="Times New Roman" w:hAnsi="Times New Roman" w:cs="Times New Roman"/>
          <w:sz w:val="24"/>
          <w:szCs w:val="24"/>
        </w:rPr>
        <w:t xml:space="preserve"> and other issues that are relevant to population-level models, in addition to rates and severities of the benefits and risks that the individual experiences.</w:t>
      </w:r>
      <w:r w:rsidR="00BE5BE4" w:rsidRPr="00BE5BE4">
        <w:rPr>
          <w:rFonts w:ascii="Times New Roman" w:hAnsi="Times New Roman" w:cs="Times New Roman"/>
          <w:noProof/>
          <w:sz w:val="24"/>
          <w:szCs w:val="24"/>
          <w:vertAlign w:val="superscript"/>
          <w:lang w:val="en-US"/>
        </w:rPr>
        <w:t>23,26</w:t>
      </w:r>
    </w:p>
    <w:p w14:paraId="4E6D3EBA" w14:textId="0FDAA137"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Potential (Benefit or Risk) Outcome</w:t>
      </w:r>
      <w:r w:rsidRPr="00783F18">
        <w:rPr>
          <w:rFonts w:ascii="Times New Roman" w:hAnsi="Times New Roman" w:cs="Times New Roman"/>
          <w:sz w:val="24"/>
          <w:szCs w:val="24"/>
        </w:rPr>
        <w:t>: Clinical outcomes for which there is scientific evidence to suspect the possibility of a causal relationship with the medicinal product, but where there is currently insufficient evidence to conclude that this association is causal</w:t>
      </w:r>
      <w:r w:rsidR="00BE5BE4">
        <w:rPr>
          <w:rFonts w:ascii="Times New Roman" w:hAnsi="Times New Roman" w:cs="Times New Roman"/>
          <w:sz w:val="24"/>
          <w:szCs w:val="24"/>
        </w:rPr>
        <w:t>.</w:t>
      </w:r>
      <w:r w:rsidR="00BE5BE4" w:rsidRPr="00BE5BE4">
        <w:rPr>
          <w:rFonts w:ascii="Times New Roman" w:hAnsi="Times New Roman" w:cs="Times New Roman"/>
          <w:sz w:val="24"/>
          <w:szCs w:val="24"/>
          <w:vertAlign w:val="superscript"/>
        </w:rPr>
        <w:t>25,</w:t>
      </w:r>
      <w:proofErr w:type="gramStart"/>
      <w:r w:rsidR="00BE5BE4" w:rsidRPr="00BE5BE4">
        <w:rPr>
          <w:rFonts w:ascii="Times New Roman" w:hAnsi="Times New Roman" w:cs="Times New Roman"/>
          <w:sz w:val="24"/>
          <w:szCs w:val="24"/>
          <w:vertAlign w:val="superscript"/>
        </w:rPr>
        <w:t>21</w:t>
      </w:r>
      <w:proofErr w:type="gramEnd"/>
    </w:p>
    <w:p w14:paraId="500C31D9" w14:textId="2138241E"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Preference</w:t>
      </w:r>
      <w:r w:rsidRPr="00783F18">
        <w:rPr>
          <w:rFonts w:ascii="Times New Roman" w:hAnsi="Times New Roman" w:cs="Times New Roman"/>
          <w:sz w:val="24"/>
          <w:szCs w:val="24"/>
        </w:rPr>
        <w:t>: A statement of the relative desirability or acceptability to patients of specified alternatives or choice among outcomes or other attributes that differ among alternative health interventions.  Preferences studies can yield qualitative information to support qualitative B-R assessment and quantitative weights that can support quantitative B-R assessment.</w:t>
      </w:r>
      <w:r w:rsidR="00BE5BE4" w:rsidRPr="005E55E5">
        <w:rPr>
          <w:rFonts w:ascii="Times New Roman" w:hAnsi="Times New Roman" w:cs="Times New Roman"/>
          <w:sz w:val="24"/>
          <w:szCs w:val="24"/>
          <w:vertAlign w:val="superscript"/>
        </w:rPr>
        <w:t>7,8</w:t>
      </w:r>
      <w:r w:rsidR="005E55E5" w:rsidRPr="005E55E5">
        <w:rPr>
          <w:rFonts w:ascii="Times New Roman" w:hAnsi="Times New Roman" w:cs="Times New Roman"/>
          <w:sz w:val="24"/>
          <w:szCs w:val="24"/>
          <w:vertAlign w:val="superscript"/>
        </w:rPr>
        <w:t>,28,32,</w:t>
      </w:r>
      <w:proofErr w:type="gramStart"/>
      <w:r w:rsidR="005E55E5" w:rsidRPr="005E55E5">
        <w:rPr>
          <w:rFonts w:ascii="Times New Roman" w:hAnsi="Times New Roman" w:cs="Times New Roman"/>
          <w:sz w:val="24"/>
          <w:szCs w:val="24"/>
          <w:vertAlign w:val="superscript"/>
        </w:rPr>
        <w:t>33</w:t>
      </w:r>
      <w:proofErr w:type="gramEnd"/>
    </w:p>
    <w:p w14:paraId="7EE12839" w14:textId="470C1F6D"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Risk</w:t>
      </w:r>
      <w:r w:rsidRPr="00783F18">
        <w:rPr>
          <w:rFonts w:ascii="Times New Roman" w:hAnsi="Times New Roman" w:cs="Times New Roman"/>
          <w:sz w:val="24"/>
          <w:szCs w:val="24"/>
        </w:rPr>
        <w:t xml:space="preserve">: Risks are adverse events and other unfavourable effects associated with a medical product. Risks for vaccines most typically include injection site reactions, serious adverse events shortly after vaccination such as anaphylaxis, and adverse events that occur in the </w:t>
      </w:r>
      <w:r w:rsidR="00E525E6">
        <w:rPr>
          <w:rFonts w:ascii="Times New Roman" w:hAnsi="Times New Roman" w:cs="Times New Roman"/>
          <w:sz w:val="24"/>
          <w:szCs w:val="24"/>
        </w:rPr>
        <w:t xml:space="preserve">days or </w:t>
      </w:r>
      <w:r w:rsidRPr="00783F18">
        <w:rPr>
          <w:rFonts w:ascii="Times New Roman" w:hAnsi="Times New Roman" w:cs="Times New Roman"/>
          <w:sz w:val="24"/>
          <w:szCs w:val="24"/>
        </w:rPr>
        <w:t xml:space="preserve">weeks following </w:t>
      </w:r>
      <w:r w:rsidRPr="00783F18">
        <w:rPr>
          <w:rFonts w:ascii="Times New Roman" w:hAnsi="Times New Roman" w:cs="Times New Roman"/>
          <w:sz w:val="24"/>
          <w:szCs w:val="24"/>
        </w:rPr>
        <w:lastRenderedPageBreak/>
        <w:t>vaccination that may result in hospitalization or death. Risks may also include interactions with drugs or other vaccines. Factors such as potential misuse, abuse, or diversion of the product may also be considered risks.</w:t>
      </w:r>
      <w:r w:rsidR="005E55E5" w:rsidRPr="005E55E5">
        <w:rPr>
          <w:rFonts w:ascii="Times New Roman" w:hAnsi="Times New Roman" w:cs="Times New Roman"/>
          <w:sz w:val="24"/>
          <w:szCs w:val="24"/>
          <w:vertAlign w:val="superscript"/>
        </w:rPr>
        <w:t>7,20,21,25,26,30,31,34,</w:t>
      </w:r>
      <w:proofErr w:type="gramStart"/>
      <w:r w:rsidR="005E55E5" w:rsidRPr="005E55E5">
        <w:rPr>
          <w:rFonts w:ascii="Times New Roman" w:hAnsi="Times New Roman" w:cs="Times New Roman"/>
          <w:sz w:val="24"/>
          <w:szCs w:val="24"/>
          <w:vertAlign w:val="superscript"/>
        </w:rPr>
        <w:t>35</w:t>
      </w:r>
      <w:proofErr w:type="gramEnd"/>
    </w:p>
    <w:p w14:paraId="1ED0FD1C" w14:textId="77777777"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Risk window</w:t>
      </w:r>
      <w:r w:rsidRPr="00783F18">
        <w:rPr>
          <w:rFonts w:ascii="Times New Roman" w:hAnsi="Times New Roman" w:cs="Times New Roman"/>
          <w:sz w:val="24"/>
          <w:szCs w:val="24"/>
        </w:rPr>
        <w:t>: For a specific risk endpoint, the time after vaccination in which events are included in rate or risk calculations.</w:t>
      </w:r>
    </w:p>
    <w:p w14:paraId="528ACBF3" w14:textId="0ADC8F76"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Scenario</w:t>
      </w:r>
      <w:r w:rsidRPr="00783F18">
        <w:rPr>
          <w:rFonts w:ascii="Times New Roman" w:hAnsi="Times New Roman" w:cs="Times New Roman"/>
          <w:sz w:val="24"/>
          <w:szCs w:val="24"/>
        </w:rPr>
        <w:t xml:space="preserve">: A set of assumptions for key properties (assumptions) that span a range of interest. Assessing B-R for different scenarios provides a sensitivity analysis to baseline assumptions. Any set of properties can be used to define a scenario. For example, three scenarios spanning a range of vaccine efficacy and reporting rates can </w:t>
      </w:r>
      <w:r w:rsidR="00FE0914">
        <w:rPr>
          <w:rFonts w:ascii="Times New Roman" w:hAnsi="Times New Roman" w:cs="Times New Roman"/>
          <w:sz w:val="24"/>
          <w:szCs w:val="24"/>
        </w:rPr>
        <w:t>include:</w:t>
      </w:r>
    </w:p>
    <w:p w14:paraId="31BF0CA2" w14:textId="77777777" w:rsidR="00783F18" w:rsidRPr="00783F18" w:rsidRDefault="00783F18" w:rsidP="00362430">
      <w:pPr>
        <w:spacing w:line="480" w:lineRule="auto"/>
        <w:ind w:left="720" w:firstLine="720"/>
        <w:rPr>
          <w:rFonts w:ascii="Times New Roman" w:hAnsi="Times New Roman" w:cs="Times New Roman"/>
          <w:sz w:val="24"/>
          <w:szCs w:val="24"/>
        </w:rPr>
      </w:pPr>
      <w:r w:rsidRPr="00783F18">
        <w:rPr>
          <w:rFonts w:ascii="Times New Roman" w:hAnsi="Times New Roman" w:cs="Times New Roman"/>
          <w:b/>
          <w:noProof/>
          <w:sz w:val="24"/>
          <w:szCs w:val="24"/>
        </w:rPr>
        <w:drawing>
          <wp:inline distT="0" distB="0" distL="0" distR="0" wp14:anchorId="11559105" wp14:editId="1AA93A38">
            <wp:extent cx="2402271" cy="900059"/>
            <wp:effectExtent l="0" t="0" r="0" b="0"/>
            <wp:docPr id="2055"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055" name="image1.png" descr="Table&#10;&#10;Description automatically generated"/>
                    <pic:cNvPicPr preferRelativeResize="0"/>
                  </pic:nvPicPr>
                  <pic:blipFill>
                    <a:blip r:embed="rId18"/>
                    <a:srcRect/>
                    <a:stretch>
                      <a:fillRect/>
                    </a:stretch>
                  </pic:blipFill>
                  <pic:spPr>
                    <a:xfrm>
                      <a:off x="0" y="0"/>
                      <a:ext cx="2402271" cy="900059"/>
                    </a:xfrm>
                    <a:prstGeom prst="rect">
                      <a:avLst/>
                    </a:prstGeom>
                    <a:ln/>
                  </pic:spPr>
                </pic:pic>
              </a:graphicData>
            </a:graphic>
          </wp:inline>
        </w:drawing>
      </w:r>
    </w:p>
    <w:p w14:paraId="09547726" w14:textId="349EE5D4"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Subgroup</w:t>
      </w:r>
      <w:r w:rsidRPr="00783F18">
        <w:rPr>
          <w:rFonts w:ascii="Times New Roman" w:hAnsi="Times New Roman" w:cs="Times New Roman"/>
          <w:sz w:val="24"/>
          <w:szCs w:val="24"/>
        </w:rPr>
        <w:t>: A subset of the study population or study sample defined by specific baseline characteristics. For example, demographic subgroups are commonly defined by subject</w:t>
      </w:r>
      <w:r w:rsidR="00E65D5A">
        <w:rPr>
          <w:rFonts w:ascii="Times New Roman" w:hAnsi="Times New Roman" w:cs="Times New Roman"/>
          <w:sz w:val="24"/>
          <w:szCs w:val="24"/>
        </w:rPr>
        <w:t>’s</w:t>
      </w:r>
      <w:r w:rsidRPr="00783F18">
        <w:rPr>
          <w:rFonts w:ascii="Times New Roman" w:hAnsi="Times New Roman" w:cs="Times New Roman"/>
          <w:sz w:val="24"/>
          <w:szCs w:val="24"/>
        </w:rPr>
        <w:t xml:space="preserve"> sex, race, and age.</w:t>
      </w:r>
    </w:p>
    <w:p w14:paraId="086BAD8C" w14:textId="6F6524FC"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Time horizon</w:t>
      </w:r>
      <w:r w:rsidRPr="00783F18">
        <w:rPr>
          <w:rFonts w:ascii="Times New Roman" w:hAnsi="Times New Roman" w:cs="Times New Roman"/>
          <w:sz w:val="24"/>
          <w:szCs w:val="24"/>
        </w:rPr>
        <w:t>: Time period during which events are included in the B-R assessment</w:t>
      </w:r>
      <w:r w:rsidR="009A4A6E">
        <w:rPr>
          <w:rFonts w:ascii="Times New Roman" w:hAnsi="Times New Roman" w:cs="Times New Roman"/>
          <w:sz w:val="24"/>
          <w:szCs w:val="24"/>
        </w:rPr>
        <w:t>.</w:t>
      </w:r>
      <w:r w:rsidR="005E55E5" w:rsidRPr="005E55E5">
        <w:rPr>
          <w:rFonts w:ascii="Times New Roman" w:hAnsi="Times New Roman" w:cs="Times New Roman"/>
          <w:noProof/>
          <w:sz w:val="24"/>
          <w:szCs w:val="24"/>
          <w:vertAlign w:val="superscript"/>
          <w:lang w:val="en-US"/>
        </w:rPr>
        <w:t>9</w:t>
      </w:r>
      <w:r w:rsidRPr="00783F18">
        <w:rPr>
          <w:rFonts w:ascii="Times New Roman" w:hAnsi="Times New Roman" w:cs="Times New Roman"/>
          <w:sz w:val="24"/>
          <w:szCs w:val="24"/>
        </w:rPr>
        <w:t xml:space="preserve"> The horizon should be no smaller than the largest of the benefit windows and risk windows. </w:t>
      </w:r>
    </w:p>
    <w:p w14:paraId="25ED84F0" w14:textId="4A784E13"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b/>
          <w:sz w:val="24"/>
          <w:szCs w:val="24"/>
        </w:rPr>
      </w:pPr>
      <w:r w:rsidRPr="00783F18">
        <w:rPr>
          <w:rFonts w:ascii="Times New Roman" w:hAnsi="Times New Roman" w:cs="Times New Roman"/>
          <w:b/>
          <w:sz w:val="24"/>
          <w:szCs w:val="24"/>
        </w:rPr>
        <w:t>Uncertainties</w:t>
      </w:r>
      <w:r w:rsidRPr="00783F18">
        <w:rPr>
          <w:rFonts w:ascii="Times New Roman" w:hAnsi="Times New Roman" w:cs="Times New Roman"/>
          <w:sz w:val="24"/>
          <w:szCs w:val="24"/>
        </w:rPr>
        <w:t>: Limitations in strength and</w:t>
      </w:r>
      <w:r w:rsidR="00157BDF">
        <w:rPr>
          <w:rFonts w:ascii="Times New Roman" w:hAnsi="Times New Roman" w:cs="Times New Roman"/>
          <w:sz w:val="24"/>
          <w:szCs w:val="24"/>
        </w:rPr>
        <w:t>/</w:t>
      </w:r>
      <w:r w:rsidR="007A22A0">
        <w:rPr>
          <w:rFonts w:ascii="Times New Roman" w:hAnsi="Times New Roman" w:cs="Times New Roman"/>
          <w:sz w:val="24"/>
          <w:szCs w:val="24"/>
        </w:rPr>
        <w:t>o</w:t>
      </w:r>
      <w:r w:rsidR="00157BDF">
        <w:rPr>
          <w:rFonts w:ascii="Times New Roman" w:hAnsi="Times New Roman" w:cs="Times New Roman"/>
          <w:sz w:val="24"/>
          <w:szCs w:val="24"/>
        </w:rPr>
        <w:t>r</w:t>
      </w:r>
      <w:r w:rsidRPr="00783F18">
        <w:rPr>
          <w:rFonts w:ascii="Times New Roman" w:hAnsi="Times New Roman" w:cs="Times New Roman"/>
          <w:sz w:val="24"/>
          <w:szCs w:val="24"/>
        </w:rPr>
        <w:t xml:space="preserve"> quality of the evidence with respect to aspects of disease and/or patient population, treatment options, benefits, </w:t>
      </w:r>
      <w:r w:rsidR="002E79EE" w:rsidRPr="00783F18">
        <w:rPr>
          <w:rFonts w:ascii="Times New Roman" w:hAnsi="Times New Roman" w:cs="Times New Roman"/>
          <w:sz w:val="24"/>
          <w:szCs w:val="24"/>
        </w:rPr>
        <w:t>risks,</w:t>
      </w:r>
      <w:r w:rsidRPr="00783F18">
        <w:rPr>
          <w:rFonts w:ascii="Times New Roman" w:hAnsi="Times New Roman" w:cs="Times New Roman"/>
          <w:sz w:val="24"/>
          <w:szCs w:val="24"/>
        </w:rPr>
        <w:t xml:space="preserve"> and data sources.</w:t>
      </w:r>
      <w:r w:rsidR="005E55E5" w:rsidRPr="005E55E5">
        <w:rPr>
          <w:rFonts w:ascii="Times New Roman" w:hAnsi="Times New Roman" w:cs="Times New Roman"/>
          <w:noProof/>
          <w:sz w:val="24"/>
          <w:szCs w:val="24"/>
          <w:vertAlign w:val="superscript"/>
          <w:lang w:val="en-US"/>
        </w:rPr>
        <w:t>19,25,31</w:t>
      </w:r>
      <w:r w:rsidR="005E55E5">
        <w:rPr>
          <w:rFonts w:ascii="Times New Roman" w:hAnsi="Times New Roman" w:cs="Times New Roman"/>
          <w:noProof/>
          <w:sz w:val="24"/>
          <w:szCs w:val="24"/>
          <w:lang w:val="en-US"/>
        </w:rPr>
        <w:t xml:space="preserve"> </w:t>
      </w:r>
      <w:r w:rsidRPr="00783F18">
        <w:rPr>
          <w:rFonts w:ascii="Times New Roman" w:hAnsi="Times New Roman" w:cs="Times New Roman"/>
          <w:sz w:val="24"/>
          <w:szCs w:val="24"/>
        </w:rPr>
        <w:t xml:space="preserve">Examples include: </w:t>
      </w:r>
    </w:p>
    <w:p w14:paraId="2411C40E" w14:textId="77777777" w:rsidR="00783F18" w:rsidRPr="00783F18" w:rsidRDefault="00783F18" w:rsidP="00362430">
      <w:pPr>
        <w:numPr>
          <w:ilvl w:val="1"/>
          <w:numId w:val="12"/>
        </w:numPr>
        <w:autoSpaceDE w:val="0"/>
        <w:autoSpaceDN w:val="0"/>
        <w:adjustRightInd w:val="0"/>
        <w:spacing w:after="0" w:line="480" w:lineRule="auto"/>
        <w:rPr>
          <w:rFonts w:ascii="Times New Roman" w:hAnsi="Times New Roman" w:cs="Times New Roman"/>
          <w:bCs/>
          <w:sz w:val="24"/>
          <w:szCs w:val="24"/>
        </w:rPr>
      </w:pPr>
      <w:r w:rsidRPr="00783F18">
        <w:rPr>
          <w:rFonts w:ascii="Times New Roman" w:hAnsi="Times New Roman" w:cs="Times New Roman"/>
          <w:bCs/>
          <w:sz w:val="24"/>
          <w:szCs w:val="24"/>
        </w:rPr>
        <w:t>Frequency of rare serious adverse events</w:t>
      </w:r>
    </w:p>
    <w:p w14:paraId="589B10E5" w14:textId="77777777" w:rsidR="00783F18" w:rsidRPr="00783F18" w:rsidRDefault="00783F18" w:rsidP="00362430">
      <w:pPr>
        <w:numPr>
          <w:ilvl w:val="1"/>
          <w:numId w:val="12"/>
        </w:numPr>
        <w:autoSpaceDE w:val="0"/>
        <w:autoSpaceDN w:val="0"/>
        <w:adjustRightInd w:val="0"/>
        <w:spacing w:after="0" w:line="480" w:lineRule="auto"/>
        <w:rPr>
          <w:rFonts w:ascii="Times New Roman" w:hAnsi="Times New Roman" w:cs="Times New Roman"/>
          <w:bCs/>
          <w:sz w:val="24"/>
          <w:szCs w:val="24"/>
        </w:rPr>
      </w:pPr>
      <w:r w:rsidRPr="00783F18">
        <w:rPr>
          <w:rFonts w:ascii="Times New Roman" w:hAnsi="Times New Roman" w:cs="Times New Roman"/>
          <w:bCs/>
          <w:sz w:val="24"/>
          <w:szCs w:val="24"/>
        </w:rPr>
        <w:t xml:space="preserve">Longevity of vaccine efficacy beyond that studied to </w:t>
      </w:r>
      <w:proofErr w:type="gramStart"/>
      <w:r w:rsidRPr="00783F18">
        <w:rPr>
          <w:rFonts w:ascii="Times New Roman" w:hAnsi="Times New Roman" w:cs="Times New Roman"/>
          <w:bCs/>
          <w:sz w:val="24"/>
          <w:szCs w:val="24"/>
        </w:rPr>
        <w:t>date</w:t>
      </w:r>
      <w:proofErr w:type="gramEnd"/>
    </w:p>
    <w:p w14:paraId="4FE409CA" w14:textId="77777777" w:rsidR="00783F18" w:rsidRPr="00783F18" w:rsidRDefault="00783F18" w:rsidP="00362430">
      <w:pPr>
        <w:numPr>
          <w:ilvl w:val="1"/>
          <w:numId w:val="12"/>
        </w:numPr>
        <w:autoSpaceDE w:val="0"/>
        <w:autoSpaceDN w:val="0"/>
        <w:adjustRightInd w:val="0"/>
        <w:spacing w:after="0" w:line="480" w:lineRule="auto"/>
        <w:rPr>
          <w:rFonts w:ascii="Times New Roman" w:hAnsi="Times New Roman" w:cs="Times New Roman"/>
          <w:b/>
          <w:sz w:val="24"/>
          <w:szCs w:val="24"/>
        </w:rPr>
      </w:pPr>
      <w:r w:rsidRPr="00783F18">
        <w:rPr>
          <w:rFonts w:ascii="Times New Roman" w:hAnsi="Times New Roman" w:cs="Times New Roman"/>
          <w:sz w:val="24"/>
          <w:szCs w:val="24"/>
        </w:rPr>
        <w:t>Statistical uncertainty on rates and on cases caused/prevented.</w:t>
      </w:r>
    </w:p>
    <w:p w14:paraId="7A587A19" w14:textId="77777777" w:rsidR="00783F18" w:rsidRPr="00783F18" w:rsidRDefault="00783F18" w:rsidP="00362430">
      <w:pPr>
        <w:numPr>
          <w:ilvl w:val="1"/>
          <w:numId w:val="12"/>
        </w:numPr>
        <w:autoSpaceDE w:val="0"/>
        <w:autoSpaceDN w:val="0"/>
        <w:adjustRightInd w:val="0"/>
        <w:spacing w:after="0" w:line="480" w:lineRule="auto"/>
        <w:rPr>
          <w:rFonts w:ascii="Times New Roman" w:hAnsi="Times New Roman" w:cs="Times New Roman"/>
          <w:b/>
          <w:sz w:val="24"/>
          <w:szCs w:val="24"/>
        </w:rPr>
      </w:pPr>
      <w:r w:rsidRPr="00783F18">
        <w:rPr>
          <w:rFonts w:ascii="Times New Roman" w:hAnsi="Times New Roman" w:cs="Times New Roman"/>
          <w:sz w:val="24"/>
          <w:szCs w:val="24"/>
        </w:rPr>
        <w:t>Limits on scientific understanding of the patient population and natural history of the condition</w:t>
      </w:r>
    </w:p>
    <w:p w14:paraId="2F510A9E" w14:textId="77777777" w:rsidR="00783F18" w:rsidRPr="00783F18" w:rsidRDefault="00783F18" w:rsidP="00362430">
      <w:pPr>
        <w:numPr>
          <w:ilvl w:val="1"/>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Aspects of the program or study design, such as the population, choice of controls, endpoints, duration, and data sources, as well differences between the clinical study and real-world use</w:t>
      </w:r>
    </w:p>
    <w:p w14:paraId="53111ADA" w14:textId="77777777" w:rsidR="00783F18" w:rsidRPr="00783F18" w:rsidRDefault="00783F18" w:rsidP="00362430">
      <w:pPr>
        <w:numPr>
          <w:ilvl w:val="1"/>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lastRenderedPageBreak/>
        <w:t xml:space="preserve">Reliability of the estimates of benefit or risk based upon variability in estimated effects due to trial conduct such as missing data, poor protocol compliance, etc. </w:t>
      </w:r>
    </w:p>
    <w:p w14:paraId="523FF3A9" w14:textId="77777777" w:rsidR="00783F18" w:rsidRPr="00783F18" w:rsidRDefault="00783F18" w:rsidP="00362430">
      <w:pPr>
        <w:numPr>
          <w:ilvl w:val="1"/>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Limited understanding of the effects of the drug that may be used in combination with existing therapies (e.g., beneficial adjunctive effect, adverse drug-drug interactions, etc.).</w:t>
      </w:r>
    </w:p>
    <w:p w14:paraId="7A738BC2" w14:textId="77777777" w:rsidR="00783F18" w:rsidRPr="00783F18" w:rsidRDefault="00783F18" w:rsidP="00362430">
      <w:pPr>
        <w:numPr>
          <w:ilvl w:val="1"/>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 xml:space="preserve">Proposed risk management strategies (e.g., patient monitoring) not studied in clinical trials, or that have been studied in clinical trials but would be difficult to implement in practice. </w:t>
      </w:r>
    </w:p>
    <w:p w14:paraId="3DC58ADC" w14:textId="77777777" w:rsidR="00783F18" w:rsidRPr="00783F18" w:rsidRDefault="00783F18" w:rsidP="00362430">
      <w:pPr>
        <w:numPr>
          <w:ilvl w:val="1"/>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Limited patient input on disease burden and unmet medical needs, meaningfulness of potential benefits, and acceptability of risk trade-offs and uncertainty</w:t>
      </w:r>
    </w:p>
    <w:p w14:paraId="5E6CFDA6" w14:textId="77777777" w:rsidR="00783F18" w:rsidRPr="00783F18" w:rsidRDefault="00783F18" w:rsidP="00362430">
      <w:pPr>
        <w:numPr>
          <w:ilvl w:val="1"/>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sz w:val="24"/>
          <w:szCs w:val="24"/>
        </w:rPr>
        <w:t>Introduction of a novel technology or control strategy in the manufacturing process, or other potential issues regarding vaccine formulation or manufacturing</w:t>
      </w:r>
    </w:p>
    <w:p w14:paraId="164BC072" w14:textId="77777777"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Vaccine of interest</w:t>
      </w:r>
      <w:r w:rsidRPr="00783F18">
        <w:rPr>
          <w:rFonts w:ascii="Times New Roman" w:hAnsi="Times New Roman" w:cs="Times New Roman"/>
          <w:sz w:val="24"/>
          <w:szCs w:val="24"/>
        </w:rPr>
        <w:t>:</w:t>
      </w:r>
      <w:r w:rsidRPr="00783F18">
        <w:rPr>
          <w:rFonts w:ascii="Times New Roman" w:hAnsi="Times New Roman" w:cs="Times New Roman"/>
          <w:b/>
          <w:sz w:val="24"/>
          <w:szCs w:val="24"/>
        </w:rPr>
        <w:t xml:space="preserve"> </w:t>
      </w:r>
      <w:r w:rsidRPr="00783F18">
        <w:rPr>
          <w:rFonts w:ascii="Times New Roman" w:hAnsi="Times New Roman" w:cs="Times New Roman"/>
          <w:sz w:val="24"/>
          <w:szCs w:val="24"/>
        </w:rPr>
        <w:t>The vaccine for which benefit-risk is being assessed, relative to one or more comparators.</w:t>
      </w:r>
    </w:p>
    <w:p w14:paraId="7322818B" w14:textId="69746BE2" w:rsidR="00783F18" w:rsidRPr="00783F18" w:rsidRDefault="00783F18" w:rsidP="00362430">
      <w:pPr>
        <w:numPr>
          <w:ilvl w:val="0"/>
          <w:numId w:val="12"/>
        </w:numPr>
        <w:autoSpaceDE w:val="0"/>
        <w:autoSpaceDN w:val="0"/>
        <w:adjustRightInd w:val="0"/>
        <w:spacing w:after="0" w:line="480" w:lineRule="auto"/>
        <w:rPr>
          <w:rFonts w:ascii="Times New Roman" w:hAnsi="Times New Roman" w:cs="Times New Roman"/>
          <w:sz w:val="24"/>
          <w:szCs w:val="24"/>
        </w:rPr>
      </w:pPr>
      <w:r w:rsidRPr="00783F18">
        <w:rPr>
          <w:rFonts w:ascii="Times New Roman" w:hAnsi="Times New Roman" w:cs="Times New Roman"/>
          <w:b/>
          <w:sz w:val="24"/>
          <w:szCs w:val="24"/>
        </w:rPr>
        <w:t>Value tree</w:t>
      </w:r>
      <w:r w:rsidRPr="00783F18">
        <w:rPr>
          <w:rFonts w:ascii="Times New Roman" w:hAnsi="Times New Roman" w:cs="Times New Roman"/>
          <w:sz w:val="24"/>
          <w:szCs w:val="24"/>
        </w:rPr>
        <w:t>:</w:t>
      </w:r>
      <w:r w:rsidRPr="00783F18">
        <w:rPr>
          <w:rFonts w:ascii="Times New Roman" w:hAnsi="Times New Roman" w:cs="Times New Roman"/>
          <w:b/>
          <w:sz w:val="24"/>
          <w:szCs w:val="24"/>
        </w:rPr>
        <w:t xml:space="preserve"> </w:t>
      </w:r>
      <w:r w:rsidRPr="00783F18">
        <w:rPr>
          <w:rFonts w:ascii="Times New Roman" w:hAnsi="Times New Roman" w:cs="Times New Roman"/>
          <w:sz w:val="24"/>
          <w:szCs w:val="24"/>
        </w:rPr>
        <w:t xml:space="preserve">A hierarchical depiction of the endpoints used in a B-R assessment, typically organized in functional or anatomic groups </w:t>
      </w:r>
      <w:r w:rsidRPr="00783F18">
        <w:rPr>
          <w:rFonts w:ascii="Times New Roman" w:hAnsi="Times New Roman" w:cs="Times New Roman"/>
          <w:sz w:val="24"/>
          <w:szCs w:val="24"/>
          <w:vertAlign w:val="superscript"/>
        </w:rPr>
        <w:t>14,26,27</w:t>
      </w:r>
      <w:r w:rsidRPr="00783F18">
        <w:rPr>
          <w:rFonts w:ascii="Times New Roman" w:hAnsi="Times New Roman" w:cs="Times New Roman"/>
          <w:sz w:val="24"/>
          <w:szCs w:val="24"/>
        </w:rPr>
        <w:t xml:space="preserve"> (</w:t>
      </w:r>
      <w:r w:rsidR="002E79EE" w:rsidRPr="00783F18">
        <w:rPr>
          <w:rFonts w:ascii="Times New Roman" w:hAnsi="Times New Roman" w:cs="Times New Roman"/>
          <w:sz w:val="24"/>
          <w:szCs w:val="24"/>
        </w:rPr>
        <w:t>e.g.,</w:t>
      </w:r>
      <w:r w:rsidRPr="00783F18">
        <w:rPr>
          <w:rFonts w:ascii="Times New Roman" w:hAnsi="Times New Roman" w:cs="Times New Roman"/>
          <w:sz w:val="24"/>
          <w:szCs w:val="24"/>
        </w:rPr>
        <w:t xml:space="preserve"> Appendix 1).</w:t>
      </w:r>
    </w:p>
    <w:p w14:paraId="06273908" w14:textId="77777777" w:rsidR="003C3BF5" w:rsidRDefault="003C3BF5" w:rsidP="00362430">
      <w:pPr>
        <w:spacing w:line="480" w:lineRule="auto"/>
        <w:rPr>
          <w:rFonts w:ascii="Times New Roman" w:hAnsi="Times New Roman" w:cs="Times New Roman"/>
          <w:sz w:val="24"/>
          <w:szCs w:val="24"/>
        </w:rPr>
        <w:sectPr w:rsidR="003C3BF5">
          <w:pgSz w:w="11906" w:h="16838"/>
          <w:pgMar w:top="720" w:right="720" w:bottom="720" w:left="720" w:header="708" w:footer="708" w:gutter="0"/>
          <w:cols w:space="720"/>
        </w:sectPr>
      </w:pPr>
    </w:p>
    <w:p w14:paraId="5181542E" w14:textId="77777777" w:rsidR="00783F18" w:rsidRPr="00783F18" w:rsidRDefault="00783F18" w:rsidP="00783F18">
      <w:pPr>
        <w:keepNext/>
        <w:rPr>
          <w:rFonts w:ascii="Times New Roman" w:hAnsi="Times New Roman" w:cs="Times New Roman"/>
          <w:sz w:val="24"/>
          <w:szCs w:val="24"/>
        </w:rPr>
      </w:pPr>
      <w:r w:rsidRPr="00783F18">
        <w:rPr>
          <w:rFonts w:ascii="Times New Roman" w:hAnsi="Times New Roman" w:cs="Times New Roman"/>
          <w:sz w:val="24"/>
          <w:szCs w:val="24"/>
        </w:rPr>
        <w:lastRenderedPageBreak/>
        <w:t>Figure 1: Categorizing Benefit Outcomes for Structured Benefit Risk Assessment</w:t>
      </w:r>
    </w:p>
    <w:p w14:paraId="69875AAD" w14:textId="073EC3EB" w:rsidR="00783F18" w:rsidRPr="00783F18" w:rsidRDefault="008547C3" w:rsidP="00783F18">
      <w:pPr>
        <w:jc w:val="center"/>
        <w:rPr>
          <w:rFonts w:ascii="Times New Roman" w:hAnsi="Times New Roman" w:cs="Times New Roman"/>
          <w:sz w:val="24"/>
          <w:szCs w:val="24"/>
        </w:rPr>
      </w:pPr>
      <w:r w:rsidRPr="008547C3">
        <w:rPr>
          <w:noProof/>
        </w:rPr>
        <w:t xml:space="preserve"> </w:t>
      </w:r>
      <w:r w:rsidR="006C15D1">
        <w:rPr>
          <w:noProof/>
        </w:rPr>
        <w:drawing>
          <wp:inline distT="0" distB="0" distL="0" distR="0" wp14:anchorId="0DEEBD6E" wp14:editId="230ED6ED">
            <wp:extent cx="9144000" cy="49103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0" cy="4910328"/>
                    </a:xfrm>
                    <a:prstGeom prst="rect">
                      <a:avLst/>
                    </a:prstGeom>
                  </pic:spPr>
                </pic:pic>
              </a:graphicData>
            </a:graphic>
          </wp:inline>
        </w:drawing>
      </w:r>
    </w:p>
    <w:p w14:paraId="08AE8341" w14:textId="77777777" w:rsidR="00783F18" w:rsidRPr="00783F18" w:rsidRDefault="00783F18" w:rsidP="00783F18">
      <w:pPr>
        <w:rPr>
          <w:rFonts w:ascii="Times New Roman" w:hAnsi="Times New Roman" w:cs="Times New Roman"/>
          <w:sz w:val="24"/>
          <w:szCs w:val="24"/>
        </w:rPr>
      </w:pPr>
    </w:p>
    <w:p w14:paraId="29EE1760" w14:textId="77777777" w:rsidR="00783F18" w:rsidRPr="00783F18" w:rsidRDefault="00783F18" w:rsidP="00783F18">
      <w:pPr>
        <w:keepNext/>
        <w:rPr>
          <w:rFonts w:ascii="Times New Roman" w:hAnsi="Times New Roman" w:cs="Times New Roman"/>
          <w:sz w:val="24"/>
          <w:szCs w:val="24"/>
        </w:rPr>
      </w:pPr>
    </w:p>
    <w:p w14:paraId="2E0391A5" w14:textId="77777777" w:rsidR="00783F18" w:rsidRPr="00783F18" w:rsidRDefault="00783F18" w:rsidP="00783F18">
      <w:pPr>
        <w:keepNext/>
        <w:rPr>
          <w:rFonts w:ascii="Times New Roman" w:hAnsi="Times New Roman" w:cs="Times New Roman"/>
          <w:sz w:val="24"/>
          <w:szCs w:val="24"/>
        </w:rPr>
      </w:pPr>
      <w:r w:rsidRPr="00783F18">
        <w:rPr>
          <w:rFonts w:ascii="Times New Roman" w:hAnsi="Times New Roman" w:cs="Times New Roman"/>
          <w:sz w:val="24"/>
          <w:szCs w:val="24"/>
        </w:rPr>
        <w:t>Figure 2: Categorizing Risk Outcomes for Structured Benefit Risk Assessment</w:t>
      </w:r>
    </w:p>
    <w:p w14:paraId="59F743A0" w14:textId="5123A432" w:rsidR="00783F18" w:rsidRPr="00783F18" w:rsidRDefault="006C15D1" w:rsidP="00783F18">
      <w:pPr>
        <w:keepNext/>
        <w:rPr>
          <w:rFonts w:ascii="Times New Roman" w:hAnsi="Times New Roman" w:cs="Times New Roman"/>
          <w:sz w:val="24"/>
          <w:szCs w:val="24"/>
        </w:rPr>
      </w:pPr>
      <w:r>
        <w:rPr>
          <w:noProof/>
        </w:rPr>
        <w:drawing>
          <wp:inline distT="0" distB="0" distL="0" distR="0" wp14:anchorId="5F5EFAEA" wp14:editId="089D3586">
            <wp:extent cx="9144000" cy="5010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4000" cy="5010912"/>
                    </a:xfrm>
                    <a:prstGeom prst="rect">
                      <a:avLst/>
                    </a:prstGeom>
                  </pic:spPr>
                </pic:pic>
              </a:graphicData>
            </a:graphic>
          </wp:inline>
        </w:drawing>
      </w:r>
    </w:p>
    <w:p w14:paraId="7DEA4569" w14:textId="5F2F365D" w:rsidR="00783F18" w:rsidRPr="00783F18" w:rsidRDefault="00783F18" w:rsidP="00783F18">
      <w:pPr>
        <w:jc w:val="center"/>
        <w:rPr>
          <w:rFonts w:ascii="Times New Roman" w:hAnsi="Times New Roman" w:cs="Times New Roman"/>
          <w:b/>
          <w:sz w:val="24"/>
          <w:szCs w:val="24"/>
        </w:rPr>
      </w:pPr>
    </w:p>
    <w:p w14:paraId="1F75C9C1" w14:textId="77777777" w:rsidR="00783F18" w:rsidRPr="00783F18" w:rsidRDefault="00783F18" w:rsidP="00783F18">
      <w:pPr>
        <w:rPr>
          <w:rFonts w:ascii="Times New Roman" w:hAnsi="Times New Roman" w:cs="Times New Roman"/>
          <w:b/>
          <w:sz w:val="24"/>
          <w:szCs w:val="24"/>
        </w:rPr>
        <w:sectPr w:rsidR="00783F18" w:rsidRPr="00783F18" w:rsidSect="003C3BF5">
          <w:pgSz w:w="16838" w:h="11906" w:orient="landscape"/>
          <w:pgMar w:top="720" w:right="720" w:bottom="720" w:left="720" w:header="708" w:footer="708" w:gutter="0"/>
          <w:cols w:space="720"/>
          <w:docGrid w:linePitch="299"/>
        </w:sectPr>
      </w:pPr>
      <w:r w:rsidRPr="00783F18">
        <w:rPr>
          <w:rFonts w:ascii="Times New Roman" w:hAnsi="Times New Roman" w:cs="Times New Roman"/>
          <w:sz w:val="24"/>
          <w:szCs w:val="24"/>
        </w:rPr>
        <w:br w:type="page"/>
      </w:r>
    </w:p>
    <w:p w14:paraId="04C9A74A" w14:textId="77777777" w:rsidR="00783F18" w:rsidRPr="00783F18" w:rsidRDefault="00783F18" w:rsidP="00783F18">
      <w:pPr>
        <w:rPr>
          <w:rFonts w:ascii="Times New Roman" w:hAnsi="Times New Roman" w:cs="Times New Roman"/>
          <w:b/>
          <w:sz w:val="24"/>
          <w:szCs w:val="24"/>
        </w:rPr>
      </w:pPr>
      <w:r w:rsidRPr="00783F18">
        <w:rPr>
          <w:rFonts w:ascii="Times New Roman" w:hAnsi="Times New Roman" w:cs="Times New Roman"/>
          <w:b/>
          <w:sz w:val="24"/>
          <w:szCs w:val="24"/>
        </w:rPr>
        <w:lastRenderedPageBreak/>
        <w:t>Appendix 1: Value Tree (optional)</w:t>
      </w:r>
    </w:p>
    <w:p w14:paraId="472381DF" w14:textId="77777777" w:rsidR="00783F18" w:rsidRPr="00783F18" w:rsidRDefault="00783F18" w:rsidP="00783F18">
      <w:pPr>
        <w:rPr>
          <w:rFonts w:ascii="Times New Roman" w:hAnsi="Times New Roman" w:cs="Times New Roman"/>
          <w:b/>
          <w:sz w:val="24"/>
          <w:szCs w:val="24"/>
        </w:rPr>
      </w:pPr>
    </w:p>
    <w:p w14:paraId="383A267F" w14:textId="5E8F342C" w:rsidR="00783F18" w:rsidRPr="00783F18" w:rsidRDefault="00783F18" w:rsidP="00783F18">
      <w:pPr>
        <w:jc w:val="center"/>
        <w:rPr>
          <w:rFonts w:ascii="Times New Roman" w:hAnsi="Times New Roman" w:cs="Times New Roman"/>
          <w:b/>
          <w:sz w:val="24"/>
          <w:szCs w:val="24"/>
        </w:rPr>
      </w:pPr>
      <w:r w:rsidRPr="00783F18">
        <w:rPr>
          <w:rFonts w:ascii="Times New Roman" w:hAnsi="Times New Roman" w:cs="Times New Roman"/>
          <w:b/>
          <w:sz w:val="24"/>
          <w:szCs w:val="24"/>
        </w:rPr>
        <w:t>Example value tree for pertussis vaccine</w:t>
      </w:r>
      <w:r w:rsidR="005E55E5" w:rsidRPr="005E55E5">
        <w:rPr>
          <w:rFonts w:ascii="Times New Roman" w:hAnsi="Times New Roman" w:cs="Times New Roman"/>
          <w:b/>
          <w:noProof/>
          <w:sz w:val="24"/>
          <w:szCs w:val="24"/>
          <w:vertAlign w:val="superscript"/>
          <w:lang w:val="en-US"/>
        </w:rPr>
        <w:t>36</w:t>
      </w:r>
    </w:p>
    <w:p w14:paraId="29E3B1DA" w14:textId="77777777" w:rsidR="00783F18" w:rsidRPr="00783F18" w:rsidRDefault="00783F18" w:rsidP="00783F18">
      <w:pPr>
        <w:rPr>
          <w:rFonts w:ascii="Times New Roman" w:hAnsi="Times New Roman" w:cs="Times New Roman"/>
          <w:sz w:val="24"/>
          <w:szCs w:val="24"/>
        </w:rPr>
      </w:pPr>
    </w:p>
    <w:p w14:paraId="1F2AB843" w14:textId="77777777" w:rsidR="00783F18" w:rsidRPr="00783F18" w:rsidRDefault="00783F18" w:rsidP="00783F18">
      <w:pPr>
        <w:pBdr>
          <w:top w:val="nil"/>
          <w:left w:val="nil"/>
          <w:bottom w:val="nil"/>
          <w:right w:val="nil"/>
          <w:between w:val="nil"/>
        </w:pBdr>
        <w:ind w:left="720"/>
        <w:rPr>
          <w:rFonts w:ascii="Times New Roman" w:eastAsia="Roboto" w:hAnsi="Times New Roman" w:cs="Times New Roman"/>
          <w:color w:val="212121"/>
          <w:sz w:val="24"/>
          <w:szCs w:val="24"/>
          <w:highlight w:val="white"/>
        </w:rPr>
      </w:pPr>
    </w:p>
    <w:p w14:paraId="44EBA16E" w14:textId="77777777" w:rsidR="00783F18" w:rsidRPr="00783F18" w:rsidRDefault="00783F18" w:rsidP="00783F18">
      <w:pPr>
        <w:pBdr>
          <w:top w:val="nil"/>
          <w:left w:val="nil"/>
          <w:bottom w:val="nil"/>
          <w:right w:val="nil"/>
          <w:between w:val="nil"/>
        </w:pBdr>
        <w:ind w:left="720"/>
        <w:rPr>
          <w:rFonts w:ascii="Times New Roman" w:hAnsi="Times New Roman" w:cs="Times New Roman"/>
          <w:sz w:val="24"/>
          <w:szCs w:val="24"/>
        </w:rPr>
      </w:pPr>
      <w:r w:rsidRPr="00783F18">
        <w:rPr>
          <w:rFonts w:ascii="Times New Roman" w:hAnsi="Times New Roman" w:cs="Times New Roman"/>
          <w:noProof/>
          <w:sz w:val="24"/>
          <w:szCs w:val="24"/>
        </w:rPr>
        <w:drawing>
          <wp:inline distT="114300" distB="114300" distL="114300" distR="114300" wp14:anchorId="17D65C12" wp14:editId="1596D504">
            <wp:extent cx="5731200" cy="5702300"/>
            <wp:effectExtent l="0" t="0" r="0" b="0"/>
            <wp:docPr id="2058"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058" name="image3.png" descr="Diagram&#10;&#10;Description automatically generated"/>
                    <pic:cNvPicPr preferRelativeResize="0"/>
                  </pic:nvPicPr>
                  <pic:blipFill>
                    <a:blip r:embed="rId21"/>
                    <a:srcRect/>
                    <a:stretch>
                      <a:fillRect/>
                    </a:stretch>
                  </pic:blipFill>
                  <pic:spPr>
                    <a:xfrm>
                      <a:off x="0" y="0"/>
                      <a:ext cx="5731200" cy="5702300"/>
                    </a:xfrm>
                    <a:prstGeom prst="rect">
                      <a:avLst/>
                    </a:prstGeom>
                    <a:ln/>
                  </pic:spPr>
                </pic:pic>
              </a:graphicData>
            </a:graphic>
          </wp:inline>
        </w:drawing>
      </w:r>
    </w:p>
    <w:p w14:paraId="1E9CD08E" w14:textId="54F1DE76" w:rsidR="00783F18" w:rsidRPr="00783F18" w:rsidRDefault="00783F18" w:rsidP="002E39E7">
      <w:pPr>
        <w:pBdr>
          <w:top w:val="nil"/>
          <w:left w:val="nil"/>
          <w:bottom w:val="nil"/>
          <w:right w:val="nil"/>
          <w:between w:val="nil"/>
        </w:pBdr>
        <w:rPr>
          <w:rFonts w:ascii="Times New Roman" w:eastAsia="Georgia" w:hAnsi="Times New Roman" w:cs="Times New Roman"/>
          <w:color w:val="323232"/>
          <w:sz w:val="24"/>
          <w:szCs w:val="24"/>
        </w:rPr>
      </w:pPr>
      <w:r w:rsidRPr="00783F18">
        <w:rPr>
          <w:rFonts w:ascii="Times New Roman" w:eastAsia="Georgia" w:hAnsi="Times New Roman" w:cs="Times New Roman"/>
          <w:color w:val="323232"/>
          <w:sz w:val="24"/>
          <w:szCs w:val="24"/>
        </w:rPr>
        <w:t xml:space="preserve">Initial </w:t>
      </w:r>
      <w:r w:rsidRPr="00183E6D">
        <w:rPr>
          <w:rFonts w:ascii="Times New Roman" w:eastAsia="Georgia" w:hAnsi="Times New Roman" w:cs="Times New Roman"/>
          <w:color w:val="323232"/>
          <w:sz w:val="24"/>
          <w:szCs w:val="24"/>
        </w:rPr>
        <w:t xml:space="preserve">and final </w:t>
      </w:r>
      <w:hyperlink r:id="rId22">
        <w:r w:rsidRPr="00183E6D">
          <w:rPr>
            <w:rFonts w:ascii="Times New Roman" w:eastAsia="Georgia" w:hAnsi="Times New Roman" w:cs="Times New Roman"/>
            <w:color w:val="2E2E2E"/>
            <w:sz w:val="24"/>
            <w:szCs w:val="24"/>
          </w:rPr>
          <w:t>pertussis</w:t>
        </w:r>
      </w:hyperlink>
      <w:r w:rsidRPr="00183E6D">
        <w:rPr>
          <w:rFonts w:ascii="Times New Roman" w:eastAsia="Georgia" w:hAnsi="Times New Roman" w:cs="Times New Roman"/>
          <w:color w:val="323232"/>
          <w:sz w:val="24"/>
          <w:szCs w:val="24"/>
        </w:rPr>
        <w:t xml:space="preserve"> vaccination </w:t>
      </w:r>
      <w:r w:rsidR="002B7CAA" w:rsidRPr="00183E6D">
        <w:rPr>
          <w:rFonts w:ascii="Times New Roman" w:eastAsia="Georgia" w:hAnsi="Times New Roman" w:cs="Times New Roman"/>
          <w:color w:val="323232"/>
          <w:sz w:val="24"/>
          <w:szCs w:val="24"/>
        </w:rPr>
        <w:t>value</w:t>
      </w:r>
      <w:r w:rsidRPr="00183E6D">
        <w:rPr>
          <w:rFonts w:ascii="Times New Roman" w:eastAsia="Georgia" w:hAnsi="Times New Roman" w:cs="Times New Roman"/>
          <w:color w:val="323232"/>
          <w:sz w:val="24"/>
          <w:szCs w:val="24"/>
        </w:rPr>
        <w:t xml:space="preserve"> trees. The outcomes that were not retained for the final outcome tree are shaded in grey. (aP: </w:t>
      </w:r>
      <w:hyperlink r:id="rId23">
        <w:r w:rsidRPr="00183E6D">
          <w:rPr>
            <w:rFonts w:ascii="Times New Roman" w:eastAsia="Georgia" w:hAnsi="Times New Roman" w:cs="Times New Roman"/>
            <w:color w:val="2E2E2E"/>
            <w:sz w:val="24"/>
            <w:szCs w:val="24"/>
          </w:rPr>
          <w:t>acellular pertussis vaccines</w:t>
        </w:r>
      </w:hyperlink>
      <w:r w:rsidR="002E39E7">
        <w:rPr>
          <w:rFonts w:ascii="Times New Roman" w:eastAsia="Georgia" w:hAnsi="Times New Roman" w:cs="Times New Roman"/>
          <w:color w:val="2E2E2E"/>
          <w:sz w:val="24"/>
          <w:szCs w:val="24"/>
        </w:rPr>
        <w:t>,</w:t>
      </w:r>
      <w:r w:rsidRPr="00183E6D">
        <w:rPr>
          <w:rFonts w:ascii="Times New Roman" w:eastAsia="Georgia" w:hAnsi="Times New Roman" w:cs="Times New Roman"/>
          <w:color w:val="323232"/>
          <w:sz w:val="24"/>
          <w:szCs w:val="24"/>
        </w:rPr>
        <w:t xml:space="preserve"> wP: whole-cell pertussis vaccines</w:t>
      </w:r>
      <w:r w:rsidR="002E39E7">
        <w:rPr>
          <w:rFonts w:ascii="Times New Roman" w:eastAsia="Georgia" w:hAnsi="Times New Roman" w:cs="Times New Roman"/>
          <w:color w:val="323232"/>
          <w:sz w:val="24"/>
          <w:szCs w:val="24"/>
        </w:rPr>
        <w:t xml:space="preserve">, </w:t>
      </w:r>
      <w:hyperlink r:id="rId24">
        <w:r w:rsidRPr="00183E6D">
          <w:rPr>
            <w:rFonts w:ascii="Times New Roman" w:eastAsia="Georgia" w:hAnsi="Times New Roman" w:cs="Times New Roman"/>
            <w:color w:val="2E2E2E"/>
            <w:sz w:val="24"/>
            <w:szCs w:val="24"/>
          </w:rPr>
          <w:t>HHE</w:t>
        </w:r>
      </w:hyperlink>
      <w:r w:rsidRPr="00183E6D">
        <w:rPr>
          <w:rFonts w:ascii="Times New Roman" w:eastAsia="Georgia" w:hAnsi="Times New Roman" w:cs="Times New Roman"/>
          <w:color w:val="323232"/>
          <w:sz w:val="24"/>
          <w:szCs w:val="24"/>
        </w:rPr>
        <w:t>: hypotonic-hyporesponsive episodes).</w:t>
      </w:r>
    </w:p>
    <w:p w14:paraId="6BF31B85" w14:textId="77777777" w:rsidR="00783F18" w:rsidRPr="00783F18" w:rsidRDefault="00783F18" w:rsidP="00783F18">
      <w:pPr>
        <w:pBdr>
          <w:top w:val="nil"/>
          <w:left w:val="nil"/>
          <w:bottom w:val="nil"/>
          <w:right w:val="nil"/>
          <w:between w:val="nil"/>
        </w:pBdr>
        <w:rPr>
          <w:rFonts w:ascii="Times New Roman" w:eastAsia="Georgia" w:hAnsi="Times New Roman" w:cs="Times New Roman"/>
          <w:color w:val="323232"/>
          <w:sz w:val="24"/>
          <w:szCs w:val="24"/>
        </w:rPr>
      </w:pPr>
      <w:r w:rsidRPr="00783F18">
        <w:rPr>
          <w:rFonts w:ascii="Times New Roman" w:hAnsi="Times New Roman" w:cs="Times New Roman"/>
          <w:sz w:val="24"/>
          <w:szCs w:val="24"/>
        </w:rPr>
        <w:br w:type="page"/>
      </w:r>
    </w:p>
    <w:p w14:paraId="396CF6C8" w14:textId="4E538CD1" w:rsidR="00783F18" w:rsidRPr="00783F18" w:rsidRDefault="00783F18" w:rsidP="00783F18">
      <w:pPr>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lastRenderedPageBreak/>
        <w:t xml:space="preserve">Appendix 2: </w:t>
      </w:r>
      <w:r w:rsidR="00B476BF">
        <w:rPr>
          <w:rFonts w:ascii="Times New Roman" w:hAnsi="Times New Roman" w:cs="Times New Roman"/>
          <w:b/>
          <w:sz w:val="24"/>
          <w:szCs w:val="24"/>
        </w:rPr>
        <w:t xml:space="preserve">Regulatory </w:t>
      </w:r>
      <w:r w:rsidRPr="00783F18">
        <w:rPr>
          <w:rFonts w:ascii="Times New Roman" w:hAnsi="Times New Roman" w:cs="Times New Roman"/>
          <w:b/>
          <w:sz w:val="24"/>
          <w:szCs w:val="24"/>
        </w:rPr>
        <w:t>Benefit-Risk Framework table (optional)</w:t>
      </w:r>
    </w:p>
    <w:p w14:paraId="24441F7D" w14:textId="77777777" w:rsidR="00783F18" w:rsidRPr="00783F18" w:rsidRDefault="00783F18" w:rsidP="00783F18">
      <w:pPr>
        <w:pBdr>
          <w:top w:val="nil"/>
          <w:left w:val="nil"/>
          <w:bottom w:val="nil"/>
          <w:right w:val="nil"/>
          <w:between w:val="nil"/>
        </w:pBdr>
        <w:rPr>
          <w:rFonts w:ascii="Times New Roman" w:hAnsi="Times New Roman" w:cs="Times New Roman"/>
          <w:b/>
          <w:sz w:val="24"/>
          <w:szCs w:val="24"/>
        </w:rPr>
      </w:pPr>
    </w:p>
    <w:tbl>
      <w:tblPr>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3345"/>
        <w:gridCol w:w="3225"/>
      </w:tblGrid>
      <w:tr w:rsidR="00783F18" w:rsidRPr="00783F18" w14:paraId="024406A0" w14:textId="77777777" w:rsidTr="008001AE">
        <w:tc>
          <w:tcPr>
            <w:tcW w:w="2445" w:type="dxa"/>
            <w:shd w:val="clear" w:color="auto" w:fill="C9DAF8"/>
            <w:tcMar>
              <w:top w:w="100" w:type="dxa"/>
              <w:left w:w="100" w:type="dxa"/>
              <w:bottom w:w="100" w:type="dxa"/>
              <w:right w:w="100" w:type="dxa"/>
            </w:tcMar>
          </w:tcPr>
          <w:p w14:paraId="6478C72A"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r w:rsidRPr="00783F18">
              <w:rPr>
                <w:rFonts w:ascii="Times New Roman" w:hAnsi="Times New Roman" w:cs="Times New Roman"/>
                <w:b/>
                <w:sz w:val="24"/>
                <w:szCs w:val="24"/>
              </w:rPr>
              <w:t>Dimension</w:t>
            </w:r>
          </w:p>
        </w:tc>
        <w:tc>
          <w:tcPr>
            <w:tcW w:w="3345" w:type="dxa"/>
            <w:shd w:val="clear" w:color="auto" w:fill="C9DAF8"/>
            <w:tcMar>
              <w:top w:w="100" w:type="dxa"/>
              <w:left w:w="100" w:type="dxa"/>
              <w:bottom w:w="100" w:type="dxa"/>
              <w:right w:w="100" w:type="dxa"/>
            </w:tcMar>
          </w:tcPr>
          <w:p w14:paraId="087D7E69"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r w:rsidRPr="00783F18">
              <w:rPr>
                <w:rFonts w:ascii="Times New Roman" w:hAnsi="Times New Roman" w:cs="Times New Roman"/>
                <w:b/>
                <w:sz w:val="24"/>
                <w:szCs w:val="24"/>
              </w:rPr>
              <w:t>Evidence &amp; Uncertainties</w:t>
            </w:r>
          </w:p>
        </w:tc>
        <w:tc>
          <w:tcPr>
            <w:tcW w:w="3225" w:type="dxa"/>
            <w:shd w:val="clear" w:color="auto" w:fill="C9DAF8"/>
            <w:tcMar>
              <w:top w:w="100" w:type="dxa"/>
              <w:left w:w="100" w:type="dxa"/>
              <w:bottom w:w="100" w:type="dxa"/>
              <w:right w:w="100" w:type="dxa"/>
            </w:tcMar>
          </w:tcPr>
          <w:p w14:paraId="5167480D"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r w:rsidRPr="00783F18">
              <w:rPr>
                <w:rFonts w:ascii="Times New Roman" w:hAnsi="Times New Roman" w:cs="Times New Roman"/>
                <w:b/>
                <w:sz w:val="24"/>
                <w:szCs w:val="24"/>
              </w:rPr>
              <w:t>Conclusions &amp; Reasons</w:t>
            </w:r>
          </w:p>
        </w:tc>
      </w:tr>
      <w:tr w:rsidR="00783F18" w:rsidRPr="00783F18" w14:paraId="6C11C479" w14:textId="77777777" w:rsidTr="008001AE">
        <w:tc>
          <w:tcPr>
            <w:tcW w:w="2445" w:type="dxa"/>
            <w:shd w:val="clear" w:color="auto" w:fill="auto"/>
            <w:tcMar>
              <w:top w:w="100" w:type="dxa"/>
              <w:left w:w="100" w:type="dxa"/>
              <w:bottom w:w="100" w:type="dxa"/>
              <w:right w:w="100" w:type="dxa"/>
            </w:tcMar>
          </w:tcPr>
          <w:p w14:paraId="06BECAD2"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Analysis of Condition</w:t>
            </w:r>
          </w:p>
        </w:tc>
        <w:tc>
          <w:tcPr>
            <w:tcW w:w="3345" w:type="dxa"/>
            <w:shd w:val="clear" w:color="auto" w:fill="auto"/>
            <w:tcMar>
              <w:top w:w="100" w:type="dxa"/>
              <w:left w:w="100" w:type="dxa"/>
              <w:bottom w:w="100" w:type="dxa"/>
              <w:right w:w="100" w:type="dxa"/>
            </w:tcMar>
          </w:tcPr>
          <w:p w14:paraId="60779196"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c>
          <w:tcPr>
            <w:tcW w:w="3225" w:type="dxa"/>
            <w:shd w:val="clear" w:color="auto" w:fill="auto"/>
            <w:tcMar>
              <w:top w:w="100" w:type="dxa"/>
              <w:left w:w="100" w:type="dxa"/>
              <w:bottom w:w="100" w:type="dxa"/>
              <w:right w:w="100" w:type="dxa"/>
            </w:tcMar>
          </w:tcPr>
          <w:p w14:paraId="66191A45"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r>
      <w:tr w:rsidR="00783F18" w:rsidRPr="00783F18" w14:paraId="7A4B6AA8" w14:textId="77777777" w:rsidTr="008001AE">
        <w:tc>
          <w:tcPr>
            <w:tcW w:w="2445" w:type="dxa"/>
            <w:shd w:val="clear" w:color="auto" w:fill="auto"/>
            <w:tcMar>
              <w:top w:w="100" w:type="dxa"/>
              <w:left w:w="100" w:type="dxa"/>
              <w:bottom w:w="100" w:type="dxa"/>
              <w:right w:w="100" w:type="dxa"/>
            </w:tcMar>
          </w:tcPr>
          <w:p w14:paraId="00AB3605"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Current Treatment Options</w:t>
            </w:r>
          </w:p>
        </w:tc>
        <w:tc>
          <w:tcPr>
            <w:tcW w:w="3345" w:type="dxa"/>
            <w:shd w:val="clear" w:color="auto" w:fill="auto"/>
            <w:tcMar>
              <w:top w:w="100" w:type="dxa"/>
              <w:left w:w="100" w:type="dxa"/>
              <w:bottom w:w="100" w:type="dxa"/>
              <w:right w:w="100" w:type="dxa"/>
            </w:tcMar>
          </w:tcPr>
          <w:p w14:paraId="43440C32"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c>
          <w:tcPr>
            <w:tcW w:w="3225" w:type="dxa"/>
            <w:shd w:val="clear" w:color="auto" w:fill="auto"/>
            <w:tcMar>
              <w:top w:w="100" w:type="dxa"/>
              <w:left w:w="100" w:type="dxa"/>
              <w:bottom w:w="100" w:type="dxa"/>
              <w:right w:w="100" w:type="dxa"/>
            </w:tcMar>
          </w:tcPr>
          <w:p w14:paraId="2494C4B7"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r>
      <w:tr w:rsidR="00783F18" w:rsidRPr="00783F18" w14:paraId="7E60BF69" w14:textId="77777777" w:rsidTr="008001AE">
        <w:tc>
          <w:tcPr>
            <w:tcW w:w="2445" w:type="dxa"/>
            <w:shd w:val="clear" w:color="auto" w:fill="auto"/>
            <w:tcMar>
              <w:top w:w="100" w:type="dxa"/>
              <w:left w:w="100" w:type="dxa"/>
              <w:bottom w:w="100" w:type="dxa"/>
              <w:right w:w="100" w:type="dxa"/>
            </w:tcMar>
          </w:tcPr>
          <w:p w14:paraId="3A47A87E"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Benefits</w:t>
            </w:r>
          </w:p>
        </w:tc>
        <w:tc>
          <w:tcPr>
            <w:tcW w:w="3345" w:type="dxa"/>
            <w:shd w:val="clear" w:color="auto" w:fill="auto"/>
            <w:tcMar>
              <w:top w:w="100" w:type="dxa"/>
              <w:left w:w="100" w:type="dxa"/>
              <w:bottom w:w="100" w:type="dxa"/>
              <w:right w:w="100" w:type="dxa"/>
            </w:tcMar>
          </w:tcPr>
          <w:p w14:paraId="6A17AE2E"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c>
          <w:tcPr>
            <w:tcW w:w="3225" w:type="dxa"/>
            <w:shd w:val="clear" w:color="auto" w:fill="auto"/>
            <w:tcMar>
              <w:top w:w="100" w:type="dxa"/>
              <w:left w:w="100" w:type="dxa"/>
              <w:bottom w:w="100" w:type="dxa"/>
              <w:right w:w="100" w:type="dxa"/>
            </w:tcMar>
          </w:tcPr>
          <w:p w14:paraId="298214B2"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r>
      <w:tr w:rsidR="00783F18" w:rsidRPr="00783F18" w14:paraId="6F03DA2F" w14:textId="77777777" w:rsidTr="008001AE">
        <w:tc>
          <w:tcPr>
            <w:tcW w:w="2445" w:type="dxa"/>
            <w:shd w:val="clear" w:color="auto" w:fill="auto"/>
            <w:tcMar>
              <w:top w:w="100" w:type="dxa"/>
              <w:left w:w="100" w:type="dxa"/>
              <w:bottom w:w="100" w:type="dxa"/>
              <w:right w:w="100" w:type="dxa"/>
            </w:tcMar>
          </w:tcPr>
          <w:p w14:paraId="609C1BAC"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r w:rsidRPr="00783F18">
              <w:rPr>
                <w:rFonts w:ascii="Times New Roman" w:hAnsi="Times New Roman" w:cs="Times New Roman"/>
                <w:b/>
                <w:sz w:val="24"/>
                <w:szCs w:val="24"/>
              </w:rPr>
              <w:t>Risks &amp; Risk Management</w:t>
            </w:r>
          </w:p>
        </w:tc>
        <w:tc>
          <w:tcPr>
            <w:tcW w:w="3345" w:type="dxa"/>
            <w:shd w:val="clear" w:color="auto" w:fill="auto"/>
            <w:tcMar>
              <w:top w:w="100" w:type="dxa"/>
              <w:left w:w="100" w:type="dxa"/>
              <w:bottom w:w="100" w:type="dxa"/>
              <w:right w:w="100" w:type="dxa"/>
            </w:tcMar>
          </w:tcPr>
          <w:p w14:paraId="5FDE917D"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c>
          <w:tcPr>
            <w:tcW w:w="3225" w:type="dxa"/>
            <w:shd w:val="clear" w:color="auto" w:fill="auto"/>
            <w:tcMar>
              <w:top w:w="100" w:type="dxa"/>
              <w:left w:w="100" w:type="dxa"/>
              <w:bottom w:w="100" w:type="dxa"/>
              <w:right w:w="100" w:type="dxa"/>
            </w:tcMar>
          </w:tcPr>
          <w:p w14:paraId="788059D9"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r>
      <w:tr w:rsidR="00783F18" w:rsidRPr="00783F18" w14:paraId="6BA76EE1" w14:textId="77777777" w:rsidTr="008001AE">
        <w:trPr>
          <w:trHeight w:val="460"/>
        </w:trPr>
        <w:tc>
          <w:tcPr>
            <w:tcW w:w="9015" w:type="dxa"/>
            <w:gridSpan w:val="3"/>
            <w:shd w:val="clear" w:color="auto" w:fill="auto"/>
            <w:tcMar>
              <w:top w:w="100" w:type="dxa"/>
              <w:left w:w="100" w:type="dxa"/>
              <w:bottom w:w="100" w:type="dxa"/>
              <w:right w:w="100" w:type="dxa"/>
            </w:tcMar>
          </w:tcPr>
          <w:p w14:paraId="01D61CC3" w14:textId="77777777" w:rsidR="00783F18" w:rsidRPr="00783F18" w:rsidRDefault="00783F18" w:rsidP="008001AE">
            <w:pPr>
              <w:widowControl w:val="0"/>
              <w:pBdr>
                <w:top w:val="nil"/>
                <w:left w:val="nil"/>
                <w:bottom w:val="nil"/>
                <w:right w:val="nil"/>
                <w:between w:val="nil"/>
              </w:pBdr>
              <w:jc w:val="center"/>
              <w:rPr>
                <w:rFonts w:ascii="Times New Roman" w:hAnsi="Times New Roman" w:cs="Times New Roman"/>
                <w:b/>
                <w:sz w:val="24"/>
                <w:szCs w:val="24"/>
              </w:rPr>
            </w:pPr>
            <w:r w:rsidRPr="00783F18">
              <w:rPr>
                <w:rFonts w:ascii="Times New Roman" w:hAnsi="Times New Roman" w:cs="Times New Roman"/>
                <w:b/>
                <w:sz w:val="24"/>
                <w:szCs w:val="24"/>
              </w:rPr>
              <w:t>Conclusions Regarding Benefit-Risk</w:t>
            </w:r>
          </w:p>
          <w:p w14:paraId="19E46FF3" w14:textId="77777777" w:rsidR="00783F18" w:rsidRPr="00783F18" w:rsidRDefault="00783F18" w:rsidP="008001AE">
            <w:pPr>
              <w:widowControl w:val="0"/>
              <w:pBdr>
                <w:top w:val="nil"/>
                <w:left w:val="nil"/>
                <w:bottom w:val="nil"/>
                <w:right w:val="nil"/>
                <w:between w:val="nil"/>
              </w:pBdr>
              <w:rPr>
                <w:rFonts w:ascii="Times New Roman" w:hAnsi="Times New Roman" w:cs="Times New Roman"/>
                <w:b/>
                <w:sz w:val="24"/>
                <w:szCs w:val="24"/>
              </w:rPr>
            </w:pPr>
          </w:p>
        </w:tc>
      </w:tr>
    </w:tbl>
    <w:p w14:paraId="3B0D36BE" w14:textId="04F9FBA8" w:rsidR="00783F18" w:rsidRPr="00783F18" w:rsidRDefault="00783F18">
      <w:pPr>
        <w:pBdr>
          <w:top w:val="nil"/>
          <w:left w:val="nil"/>
          <w:bottom w:val="nil"/>
          <w:right w:val="nil"/>
          <w:between w:val="nil"/>
        </w:pBdr>
        <w:spacing w:after="0" w:line="360" w:lineRule="auto"/>
        <w:jc w:val="both"/>
        <w:rPr>
          <w:rFonts w:ascii="Times New Roman" w:hAnsi="Times New Roman" w:cs="Times New Roman"/>
          <w:sz w:val="24"/>
          <w:szCs w:val="24"/>
        </w:rPr>
      </w:pPr>
    </w:p>
    <w:p w14:paraId="05380D57" w14:textId="77777777" w:rsidR="00783F18" w:rsidRPr="00783F18" w:rsidRDefault="00783F18">
      <w:pPr>
        <w:pBdr>
          <w:top w:val="nil"/>
          <w:left w:val="nil"/>
          <w:bottom w:val="nil"/>
          <w:right w:val="nil"/>
          <w:between w:val="nil"/>
        </w:pBdr>
        <w:spacing w:after="0" w:line="360" w:lineRule="auto"/>
        <w:jc w:val="both"/>
        <w:rPr>
          <w:rFonts w:ascii="Times New Roman" w:hAnsi="Times New Roman" w:cs="Times New Roman"/>
          <w:sz w:val="24"/>
          <w:szCs w:val="24"/>
        </w:rPr>
      </w:pPr>
    </w:p>
    <w:p w14:paraId="4FB49617" w14:textId="77777777" w:rsidR="009A4A6E" w:rsidRDefault="00025D82" w:rsidP="00025D82">
      <w:pPr>
        <w:pBdr>
          <w:top w:val="nil"/>
          <w:left w:val="nil"/>
          <w:bottom w:val="nil"/>
          <w:right w:val="nil"/>
          <w:between w:val="nil"/>
        </w:pBdr>
        <w:spacing w:after="0" w:line="360" w:lineRule="auto"/>
        <w:jc w:val="both"/>
        <w:rPr>
          <w:noProof/>
        </w:rPr>
      </w:pPr>
      <w:commentRangeStart w:id="9"/>
      <w:r w:rsidRPr="00783F18">
        <w:rPr>
          <w:rFonts w:ascii="Times New Roman" w:eastAsia="Times New Roman" w:hAnsi="Times New Roman" w:cs="Times New Roman"/>
          <w:b/>
          <w:sz w:val="24"/>
          <w:szCs w:val="24"/>
        </w:rPr>
        <w:t>Ref</w:t>
      </w:r>
      <w:commentRangeEnd w:id="9"/>
      <w:r w:rsidR="007A22A0">
        <w:rPr>
          <w:rStyle w:val="CommentReference"/>
        </w:rPr>
        <w:commentReference w:id="9"/>
      </w:r>
      <w:r w:rsidRPr="00783F18">
        <w:rPr>
          <w:rFonts w:ascii="Times New Roman" w:eastAsia="Times New Roman" w:hAnsi="Times New Roman" w:cs="Times New Roman"/>
          <w:b/>
          <w:sz w:val="24"/>
          <w:szCs w:val="24"/>
        </w:rPr>
        <w:t>erences</w:t>
      </w:r>
      <w:r w:rsidRPr="00783F18">
        <w:rPr>
          <w:rFonts w:ascii="Times New Roman" w:hAnsi="Times New Roman" w:cs="Times New Roman"/>
          <w:sz w:val="24"/>
          <w:szCs w:val="24"/>
        </w:rPr>
        <w:fldChar w:fldCharType="begin"/>
      </w:r>
      <w:r w:rsidRPr="00783F18">
        <w:rPr>
          <w:rFonts w:ascii="Times New Roman" w:hAnsi="Times New Roman" w:cs="Times New Roman"/>
          <w:sz w:val="24"/>
          <w:szCs w:val="24"/>
          <w:lang w:val="en-US"/>
        </w:rPr>
        <w:instrText xml:space="preserve"> BIBLIOGRAPHY  \l 1033 </w:instrText>
      </w:r>
      <w:r w:rsidRPr="00783F18">
        <w:rPr>
          <w:rFonts w:ascii="Times New Roman" w:hAnsi="Times New Roman" w:cs="Times New Roman"/>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66"/>
        <w:gridCol w:w="8527"/>
      </w:tblGrid>
      <w:tr w:rsidR="00CA2C4B" w14:paraId="457EF086" w14:textId="77777777" w:rsidTr="00CA2C4B">
        <w:trPr>
          <w:divId w:val="513492335"/>
          <w:tblCellSpacing w:w="15" w:type="dxa"/>
        </w:trPr>
        <w:tc>
          <w:tcPr>
            <w:tcW w:w="215" w:type="pct"/>
            <w:hideMark/>
          </w:tcPr>
          <w:p w14:paraId="50410FBB" w14:textId="79D08614" w:rsidR="00CA2C4B" w:rsidRDefault="00CA2C4B">
            <w:pPr>
              <w:pStyle w:val="Bibliography"/>
              <w:rPr>
                <w:noProof/>
                <w:sz w:val="24"/>
                <w:szCs w:val="24"/>
              </w:rPr>
            </w:pPr>
            <w:r>
              <w:rPr>
                <w:noProof/>
              </w:rPr>
              <w:t xml:space="preserve">[1] </w:t>
            </w:r>
          </w:p>
        </w:tc>
        <w:tc>
          <w:tcPr>
            <w:tcW w:w="20" w:type="pct"/>
          </w:tcPr>
          <w:p w14:paraId="10D4C876" w14:textId="77777777" w:rsidR="00CA2C4B" w:rsidRDefault="00CA2C4B">
            <w:pPr>
              <w:pStyle w:val="Bibliography"/>
              <w:rPr>
                <w:noProof/>
              </w:rPr>
            </w:pPr>
          </w:p>
        </w:tc>
        <w:tc>
          <w:tcPr>
            <w:tcW w:w="4699" w:type="pct"/>
            <w:hideMark/>
          </w:tcPr>
          <w:p w14:paraId="6B054D9A" w14:textId="2675D0B7" w:rsidR="00CA2C4B" w:rsidRDefault="00CA2C4B">
            <w:pPr>
              <w:pStyle w:val="Bibliography"/>
              <w:rPr>
                <w:noProof/>
              </w:rPr>
            </w:pPr>
            <w:r>
              <w:rPr>
                <w:noProof/>
              </w:rPr>
              <w:t xml:space="preserve">Bonhoeffer J et al., "The Brighton Collaboration: addressing the need for standardized case definitions of adverse events following immunization (AEFI).," </w:t>
            </w:r>
            <w:r>
              <w:rPr>
                <w:i/>
                <w:iCs/>
                <w:noProof/>
              </w:rPr>
              <w:t xml:space="preserve">Vaccine, </w:t>
            </w:r>
            <w:r>
              <w:rPr>
                <w:noProof/>
              </w:rPr>
              <w:t xml:space="preserve">vol. 21, no. 3-4, pp. 298-302, 2002. </w:t>
            </w:r>
          </w:p>
        </w:tc>
      </w:tr>
      <w:tr w:rsidR="00CA2C4B" w14:paraId="14A6E9C7" w14:textId="77777777" w:rsidTr="00CA2C4B">
        <w:trPr>
          <w:divId w:val="513492335"/>
          <w:tblCellSpacing w:w="15" w:type="dxa"/>
        </w:trPr>
        <w:tc>
          <w:tcPr>
            <w:tcW w:w="215" w:type="pct"/>
            <w:hideMark/>
          </w:tcPr>
          <w:p w14:paraId="31DE2DF5" w14:textId="77777777" w:rsidR="00CA2C4B" w:rsidRDefault="00CA2C4B">
            <w:pPr>
              <w:pStyle w:val="Bibliography"/>
              <w:rPr>
                <w:noProof/>
              </w:rPr>
            </w:pPr>
            <w:r>
              <w:rPr>
                <w:noProof/>
              </w:rPr>
              <w:t xml:space="preserve">[2] </w:t>
            </w:r>
          </w:p>
        </w:tc>
        <w:tc>
          <w:tcPr>
            <w:tcW w:w="20" w:type="pct"/>
          </w:tcPr>
          <w:p w14:paraId="7F76D77B" w14:textId="77777777" w:rsidR="00CA2C4B" w:rsidRDefault="00CA2C4B">
            <w:pPr>
              <w:pStyle w:val="Bibliography"/>
              <w:rPr>
                <w:noProof/>
              </w:rPr>
            </w:pPr>
          </w:p>
        </w:tc>
        <w:tc>
          <w:tcPr>
            <w:tcW w:w="4699" w:type="pct"/>
            <w:hideMark/>
          </w:tcPr>
          <w:p w14:paraId="3395CB59" w14:textId="4E1B1163" w:rsidR="00CA2C4B" w:rsidRDefault="00CA2C4B">
            <w:pPr>
              <w:pStyle w:val="Bibliography"/>
              <w:rPr>
                <w:noProof/>
              </w:rPr>
            </w:pPr>
            <w:r>
              <w:rPr>
                <w:noProof/>
              </w:rPr>
              <w:t xml:space="preserve">Kochhar S et al., "Brighton Collaboration Viral Vector Vaccines Safety Working Group (V3SWG). The Brighton Collaboration standardized template for collection of key information for benefit-risk assessment of protein vaccines," </w:t>
            </w:r>
            <w:r>
              <w:rPr>
                <w:i/>
                <w:iCs/>
                <w:noProof/>
              </w:rPr>
              <w:t xml:space="preserve">Vaccine, </w:t>
            </w:r>
            <w:r>
              <w:rPr>
                <w:noProof/>
              </w:rPr>
              <w:t xml:space="preserve">vol. 38, no. 35, pp. 5734-5739, 2020. </w:t>
            </w:r>
          </w:p>
        </w:tc>
      </w:tr>
      <w:tr w:rsidR="00CA2C4B" w14:paraId="6C17B8DC" w14:textId="77777777" w:rsidTr="00CA2C4B">
        <w:trPr>
          <w:divId w:val="513492335"/>
          <w:tblCellSpacing w:w="15" w:type="dxa"/>
        </w:trPr>
        <w:tc>
          <w:tcPr>
            <w:tcW w:w="215" w:type="pct"/>
            <w:hideMark/>
          </w:tcPr>
          <w:p w14:paraId="626345F7" w14:textId="77777777" w:rsidR="00CA2C4B" w:rsidRDefault="00CA2C4B">
            <w:pPr>
              <w:pStyle w:val="Bibliography"/>
              <w:rPr>
                <w:noProof/>
              </w:rPr>
            </w:pPr>
            <w:r>
              <w:rPr>
                <w:noProof/>
              </w:rPr>
              <w:t xml:space="preserve">[3] </w:t>
            </w:r>
          </w:p>
        </w:tc>
        <w:tc>
          <w:tcPr>
            <w:tcW w:w="20" w:type="pct"/>
          </w:tcPr>
          <w:p w14:paraId="5956A274" w14:textId="77777777" w:rsidR="00CA2C4B" w:rsidRDefault="00CA2C4B">
            <w:pPr>
              <w:pStyle w:val="Bibliography"/>
              <w:rPr>
                <w:noProof/>
              </w:rPr>
            </w:pPr>
          </w:p>
        </w:tc>
        <w:tc>
          <w:tcPr>
            <w:tcW w:w="4699" w:type="pct"/>
            <w:hideMark/>
          </w:tcPr>
          <w:p w14:paraId="15800A4C" w14:textId="0D3585B1" w:rsidR="00CA2C4B" w:rsidRDefault="00CA2C4B">
            <w:pPr>
              <w:pStyle w:val="Bibliography"/>
              <w:rPr>
                <w:noProof/>
              </w:rPr>
            </w:pPr>
            <w:r>
              <w:rPr>
                <w:noProof/>
              </w:rPr>
              <w:t xml:space="preserve">Kochhar S et al., "The Brighton Collaboration standardized template for collection of key information for benefit-risk assessment of inactivated viral vaccines," </w:t>
            </w:r>
            <w:r>
              <w:rPr>
                <w:i/>
                <w:iCs/>
                <w:noProof/>
              </w:rPr>
              <w:t xml:space="preserve">Vaccine, </w:t>
            </w:r>
            <w:r>
              <w:rPr>
                <w:noProof/>
              </w:rPr>
              <w:t xml:space="preserve">vol. 38, no. 39, pp. 6184-618, 2020. </w:t>
            </w:r>
          </w:p>
        </w:tc>
      </w:tr>
      <w:tr w:rsidR="00CA2C4B" w14:paraId="067CF84C" w14:textId="77777777" w:rsidTr="00CA2C4B">
        <w:trPr>
          <w:divId w:val="513492335"/>
          <w:tblCellSpacing w:w="15" w:type="dxa"/>
        </w:trPr>
        <w:tc>
          <w:tcPr>
            <w:tcW w:w="215" w:type="pct"/>
            <w:hideMark/>
          </w:tcPr>
          <w:p w14:paraId="651BB30D" w14:textId="77777777" w:rsidR="00CA2C4B" w:rsidRDefault="00CA2C4B">
            <w:pPr>
              <w:pStyle w:val="Bibliography"/>
              <w:rPr>
                <w:noProof/>
              </w:rPr>
            </w:pPr>
            <w:r>
              <w:rPr>
                <w:noProof/>
              </w:rPr>
              <w:t xml:space="preserve">[4] </w:t>
            </w:r>
          </w:p>
        </w:tc>
        <w:tc>
          <w:tcPr>
            <w:tcW w:w="20" w:type="pct"/>
          </w:tcPr>
          <w:p w14:paraId="6BA02391" w14:textId="77777777" w:rsidR="00CA2C4B" w:rsidRDefault="00CA2C4B">
            <w:pPr>
              <w:pStyle w:val="Bibliography"/>
              <w:rPr>
                <w:noProof/>
              </w:rPr>
            </w:pPr>
          </w:p>
        </w:tc>
        <w:tc>
          <w:tcPr>
            <w:tcW w:w="4699" w:type="pct"/>
            <w:hideMark/>
          </w:tcPr>
          <w:p w14:paraId="72B0DF8C" w14:textId="6BA31D18" w:rsidR="00CA2C4B" w:rsidRDefault="00CA2C4B">
            <w:pPr>
              <w:pStyle w:val="Bibliography"/>
              <w:rPr>
                <w:noProof/>
              </w:rPr>
            </w:pPr>
            <w:r>
              <w:rPr>
                <w:noProof/>
              </w:rPr>
              <w:t xml:space="preserve">Condit RC et al., "The Brighton Collaboration standardized template for collection of key information for benefit-risk assessment of viral vector vaccines," </w:t>
            </w:r>
            <w:r>
              <w:rPr>
                <w:i/>
                <w:iCs/>
                <w:noProof/>
              </w:rPr>
              <w:t xml:space="preserve">Vaccine, </w:t>
            </w:r>
            <w:r>
              <w:rPr>
                <w:noProof/>
              </w:rPr>
              <w:t xml:space="preserve">vol. 38, no. 39, pp. 7708-7715, 2020. </w:t>
            </w:r>
          </w:p>
        </w:tc>
      </w:tr>
      <w:tr w:rsidR="00CA2C4B" w14:paraId="22E36616" w14:textId="77777777" w:rsidTr="00CA2C4B">
        <w:trPr>
          <w:divId w:val="513492335"/>
          <w:tblCellSpacing w:w="15" w:type="dxa"/>
        </w:trPr>
        <w:tc>
          <w:tcPr>
            <w:tcW w:w="215" w:type="pct"/>
            <w:hideMark/>
          </w:tcPr>
          <w:p w14:paraId="034E2799" w14:textId="77777777" w:rsidR="00CA2C4B" w:rsidRDefault="00CA2C4B">
            <w:pPr>
              <w:pStyle w:val="Bibliography"/>
              <w:rPr>
                <w:noProof/>
              </w:rPr>
            </w:pPr>
            <w:r>
              <w:rPr>
                <w:noProof/>
              </w:rPr>
              <w:t xml:space="preserve">[5] </w:t>
            </w:r>
          </w:p>
        </w:tc>
        <w:tc>
          <w:tcPr>
            <w:tcW w:w="20" w:type="pct"/>
          </w:tcPr>
          <w:p w14:paraId="74BE64B5" w14:textId="77777777" w:rsidR="00CA2C4B" w:rsidRDefault="00CA2C4B">
            <w:pPr>
              <w:pStyle w:val="Bibliography"/>
              <w:rPr>
                <w:noProof/>
              </w:rPr>
            </w:pPr>
          </w:p>
        </w:tc>
        <w:tc>
          <w:tcPr>
            <w:tcW w:w="4699" w:type="pct"/>
            <w:hideMark/>
          </w:tcPr>
          <w:p w14:paraId="6851BD98" w14:textId="798169A2" w:rsidR="00CA2C4B" w:rsidRDefault="00CA2C4B">
            <w:pPr>
              <w:pStyle w:val="Bibliography"/>
              <w:rPr>
                <w:noProof/>
              </w:rPr>
            </w:pPr>
            <w:r>
              <w:rPr>
                <w:noProof/>
              </w:rPr>
              <w:t xml:space="preserve">Kim D et al., "The Brighton Collaboration standardized template for collection of key information for benefit-risk assessment of nucleic acid (RNA and DNA) vaccines," </w:t>
            </w:r>
            <w:r>
              <w:rPr>
                <w:i/>
                <w:iCs/>
                <w:noProof/>
              </w:rPr>
              <w:t xml:space="preserve">Vaccine, </w:t>
            </w:r>
            <w:r>
              <w:rPr>
                <w:noProof/>
              </w:rPr>
              <w:t xml:space="preserve">vol. 38, no. 34, pp. 5556-5561, 2020. </w:t>
            </w:r>
          </w:p>
        </w:tc>
      </w:tr>
      <w:tr w:rsidR="00CA2C4B" w14:paraId="64C48E29" w14:textId="77777777" w:rsidTr="00CA2C4B">
        <w:trPr>
          <w:divId w:val="513492335"/>
          <w:tblCellSpacing w:w="15" w:type="dxa"/>
        </w:trPr>
        <w:tc>
          <w:tcPr>
            <w:tcW w:w="215" w:type="pct"/>
            <w:hideMark/>
          </w:tcPr>
          <w:p w14:paraId="08D019C3" w14:textId="77777777" w:rsidR="00CA2C4B" w:rsidRDefault="00CA2C4B">
            <w:pPr>
              <w:pStyle w:val="Bibliography"/>
              <w:rPr>
                <w:noProof/>
              </w:rPr>
            </w:pPr>
            <w:r>
              <w:rPr>
                <w:noProof/>
              </w:rPr>
              <w:t xml:space="preserve">[6] </w:t>
            </w:r>
          </w:p>
        </w:tc>
        <w:tc>
          <w:tcPr>
            <w:tcW w:w="20" w:type="pct"/>
          </w:tcPr>
          <w:p w14:paraId="429E1087" w14:textId="77777777" w:rsidR="00CA2C4B" w:rsidRDefault="00CA2C4B">
            <w:pPr>
              <w:pStyle w:val="Bibliography"/>
              <w:rPr>
                <w:noProof/>
              </w:rPr>
            </w:pPr>
          </w:p>
        </w:tc>
        <w:tc>
          <w:tcPr>
            <w:tcW w:w="4699" w:type="pct"/>
            <w:hideMark/>
          </w:tcPr>
          <w:p w14:paraId="3278F10F" w14:textId="472A7382" w:rsidR="00CA2C4B" w:rsidRDefault="00CA2C4B">
            <w:pPr>
              <w:pStyle w:val="Bibliography"/>
              <w:rPr>
                <w:noProof/>
              </w:rPr>
            </w:pPr>
            <w:r>
              <w:rPr>
                <w:noProof/>
              </w:rPr>
              <w:t xml:space="preserve">Gurwith M et al., "Brighton Collaboration Viral Vector Vaccines Safety Working Group (V3SWG) standardized template for collection of key information for benefit-risk assessment of live-attenuated viral vaccines," </w:t>
            </w:r>
            <w:r>
              <w:rPr>
                <w:i/>
                <w:iCs/>
                <w:noProof/>
              </w:rPr>
              <w:t xml:space="preserve">Vaccine, </w:t>
            </w:r>
            <w:r>
              <w:rPr>
                <w:noProof/>
              </w:rPr>
              <w:t xml:space="preserve">vol. 38, no. 49, pp. 7702-7707, 2020. </w:t>
            </w:r>
          </w:p>
        </w:tc>
      </w:tr>
      <w:tr w:rsidR="00CA2C4B" w14:paraId="50EF69C1" w14:textId="77777777" w:rsidTr="00CA2C4B">
        <w:trPr>
          <w:divId w:val="513492335"/>
          <w:tblCellSpacing w:w="15" w:type="dxa"/>
        </w:trPr>
        <w:tc>
          <w:tcPr>
            <w:tcW w:w="215" w:type="pct"/>
            <w:hideMark/>
          </w:tcPr>
          <w:p w14:paraId="638EA032" w14:textId="77777777" w:rsidR="00CA2C4B" w:rsidRDefault="00CA2C4B">
            <w:pPr>
              <w:pStyle w:val="Bibliography"/>
              <w:rPr>
                <w:noProof/>
              </w:rPr>
            </w:pPr>
            <w:r>
              <w:rPr>
                <w:noProof/>
              </w:rPr>
              <w:lastRenderedPageBreak/>
              <w:t xml:space="preserve">[7] </w:t>
            </w:r>
          </w:p>
        </w:tc>
        <w:tc>
          <w:tcPr>
            <w:tcW w:w="20" w:type="pct"/>
          </w:tcPr>
          <w:p w14:paraId="4E04700F" w14:textId="77777777" w:rsidR="00CA2C4B" w:rsidRDefault="00CA2C4B">
            <w:pPr>
              <w:pStyle w:val="Bibliography"/>
              <w:rPr>
                <w:noProof/>
              </w:rPr>
            </w:pPr>
          </w:p>
        </w:tc>
        <w:tc>
          <w:tcPr>
            <w:tcW w:w="4699" w:type="pct"/>
            <w:hideMark/>
          </w:tcPr>
          <w:p w14:paraId="71A48E2E" w14:textId="44ECDDC4" w:rsidR="00CA2C4B" w:rsidRDefault="00CA2C4B">
            <w:pPr>
              <w:pStyle w:val="Bibliography"/>
              <w:rPr>
                <w:noProof/>
              </w:rPr>
            </w:pPr>
            <w:r>
              <w:rPr>
                <w:noProof/>
              </w:rPr>
              <w:t>FDA, "Patient-Focused Drug Development Glossary," [Online]. Available: https://www.fda.gov/drugs/development-approval-process-drugs/patient-focused-drug-development-glossary. [Accessed 22 September 2022].</w:t>
            </w:r>
          </w:p>
        </w:tc>
      </w:tr>
      <w:tr w:rsidR="00CA2C4B" w14:paraId="33088785" w14:textId="77777777" w:rsidTr="00CA2C4B">
        <w:trPr>
          <w:divId w:val="513492335"/>
          <w:tblCellSpacing w:w="15" w:type="dxa"/>
        </w:trPr>
        <w:tc>
          <w:tcPr>
            <w:tcW w:w="215" w:type="pct"/>
            <w:hideMark/>
          </w:tcPr>
          <w:p w14:paraId="0BB8F273" w14:textId="77777777" w:rsidR="00CA2C4B" w:rsidRDefault="00CA2C4B">
            <w:pPr>
              <w:pStyle w:val="Bibliography"/>
              <w:rPr>
                <w:noProof/>
              </w:rPr>
            </w:pPr>
            <w:r>
              <w:rPr>
                <w:noProof/>
              </w:rPr>
              <w:t xml:space="preserve">[8] </w:t>
            </w:r>
          </w:p>
        </w:tc>
        <w:tc>
          <w:tcPr>
            <w:tcW w:w="20" w:type="pct"/>
          </w:tcPr>
          <w:p w14:paraId="469280C0" w14:textId="77777777" w:rsidR="00CA2C4B" w:rsidRDefault="00CA2C4B">
            <w:pPr>
              <w:pStyle w:val="Bibliography"/>
              <w:rPr>
                <w:noProof/>
              </w:rPr>
            </w:pPr>
          </w:p>
        </w:tc>
        <w:tc>
          <w:tcPr>
            <w:tcW w:w="4699" w:type="pct"/>
            <w:hideMark/>
          </w:tcPr>
          <w:p w14:paraId="5139D761" w14:textId="1B4BD0B5" w:rsidR="00CA2C4B" w:rsidRDefault="00CA2C4B">
            <w:pPr>
              <w:pStyle w:val="Bibliography"/>
              <w:rPr>
                <w:noProof/>
              </w:rPr>
            </w:pPr>
            <w:r>
              <w:rPr>
                <w:noProof/>
              </w:rPr>
              <w:t xml:space="preserve">Pignatti F et al., "Structured Frameworks to Increase the Transparency of the Assessment of Benefits and Risks of Medicines: Current Status and Possible Future Directions," </w:t>
            </w:r>
            <w:r>
              <w:rPr>
                <w:i/>
                <w:iCs/>
                <w:noProof/>
              </w:rPr>
              <w:t xml:space="preserve">Clin Pharmacol Ther, </w:t>
            </w:r>
            <w:r>
              <w:rPr>
                <w:noProof/>
              </w:rPr>
              <w:t xml:space="preserve">vol. 98, no. 5, pp. 522-33, 2015. </w:t>
            </w:r>
          </w:p>
        </w:tc>
      </w:tr>
      <w:tr w:rsidR="00CA2C4B" w14:paraId="71E2CB89" w14:textId="77777777" w:rsidTr="00CA2C4B">
        <w:trPr>
          <w:divId w:val="513492335"/>
          <w:tblCellSpacing w:w="15" w:type="dxa"/>
        </w:trPr>
        <w:tc>
          <w:tcPr>
            <w:tcW w:w="215" w:type="pct"/>
            <w:hideMark/>
          </w:tcPr>
          <w:p w14:paraId="6943C6A4" w14:textId="77777777" w:rsidR="00CA2C4B" w:rsidRDefault="00CA2C4B">
            <w:pPr>
              <w:pStyle w:val="Bibliography"/>
              <w:rPr>
                <w:noProof/>
              </w:rPr>
            </w:pPr>
            <w:r>
              <w:rPr>
                <w:noProof/>
              </w:rPr>
              <w:t xml:space="preserve">[9] </w:t>
            </w:r>
          </w:p>
        </w:tc>
        <w:tc>
          <w:tcPr>
            <w:tcW w:w="20" w:type="pct"/>
          </w:tcPr>
          <w:p w14:paraId="3A6AFE1F" w14:textId="77777777" w:rsidR="00CA2C4B" w:rsidRDefault="00CA2C4B">
            <w:pPr>
              <w:pStyle w:val="Bibliography"/>
              <w:rPr>
                <w:noProof/>
              </w:rPr>
            </w:pPr>
          </w:p>
        </w:tc>
        <w:tc>
          <w:tcPr>
            <w:tcW w:w="4699" w:type="pct"/>
            <w:hideMark/>
          </w:tcPr>
          <w:p w14:paraId="68286CCC" w14:textId="7D622D26" w:rsidR="00CA2C4B" w:rsidRDefault="00CA2C4B">
            <w:pPr>
              <w:pStyle w:val="Bibliography"/>
              <w:rPr>
                <w:noProof/>
              </w:rPr>
            </w:pPr>
            <w:r>
              <w:rPr>
                <w:noProof/>
              </w:rPr>
              <w:t xml:space="preserve">Coplan PM et al., "Development of a framework for enhancing the transparency, reproducibility and communication of the benefit-risk balance of medicines," </w:t>
            </w:r>
            <w:r>
              <w:rPr>
                <w:i/>
                <w:iCs/>
                <w:noProof/>
              </w:rPr>
              <w:t xml:space="preserve">Clin Pharmacol Ther, </w:t>
            </w:r>
            <w:r>
              <w:rPr>
                <w:noProof/>
              </w:rPr>
              <w:t xml:space="preserve">vol. 89, no. 2, pp. 312-5, 2011. </w:t>
            </w:r>
          </w:p>
        </w:tc>
      </w:tr>
      <w:tr w:rsidR="00CA2C4B" w14:paraId="12B50B89" w14:textId="77777777" w:rsidTr="00CA2C4B">
        <w:trPr>
          <w:divId w:val="513492335"/>
          <w:tblCellSpacing w:w="15" w:type="dxa"/>
        </w:trPr>
        <w:tc>
          <w:tcPr>
            <w:tcW w:w="215" w:type="pct"/>
            <w:hideMark/>
          </w:tcPr>
          <w:p w14:paraId="24A74985" w14:textId="77777777" w:rsidR="00CA2C4B" w:rsidRDefault="00CA2C4B">
            <w:pPr>
              <w:pStyle w:val="Bibliography"/>
              <w:rPr>
                <w:noProof/>
              </w:rPr>
            </w:pPr>
            <w:r>
              <w:rPr>
                <w:noProof/>
              </w:rPr>
              <w:t xml:space="preserve">[10] </w:t>
            </w:r>
          </w:p>
        </w:tc>
        <w:tc>
          <w:tcPr>
            <w:tcW w:w="20" w:type="pct"/>
          </w:tcPr>
          <w:p w14:paraId="6432661E" w14:textId="77777777" w:rsidR="00CA2C4B" w:rsidRDefault="00CA2C4B">
            <w:pPr>
              <w:pStyle w:val="Bibliography"/>
              <w:rPr>
                <w:noProof/>
              </w:rPr>
            </w:pPr>
          </w:p>
        </w:tc>
        <w:tc>
          <w:tcPr>
            <w:tcW w:w="4699" w:type="pct"/>
            <w:hideMark/>
          </w:tcPr>
          <w:p w14:paraId="40BC4BCF" w14:textId="35A3B3B8" w:rsidR="00CA2C4B" w:rsidRDefault="00CA2C4B">
            <w:pPr>
              <w:pStyle w:val="Bibliography"/>
              <w:rPr>
                <w:noProof/>
              </w:rPr>
            </w:pPr>
            <w:r>
              <w:rPr>
                <w:noProof/>
              </w:rPr>
              <w:t xml:space="preserve">Levitan BS et al., "Application of the BRAT Framework to Case Studies: Observations and Insights," </w:t>
            </w:r>
            <w:r>
              <w:rPr>
                <w:i/>
                <w:iCs/>
                <w:noProof/>
              </w:rPr>
              <w:t xml:space="preserve">Clin Pharmacol Ther, </w:t>
            </w:r>
            <w:r>
              <w:rPr>
                <w:noProof/>
              </w:rPr>
              <w:t xml:space="preserve">vol. 89, no. 2, pp. 2017-24, 2011. </w:t>
            </w:r>
          </w:p>
        </w:tc>
      </w:tr>
      <w:tr w:rsidR="00CA2C4B" w14:paraId="3ECB3FB6" w14:textId="77777777" w:rsidTr="00CA2C4B">
        <w:trPr>
          <w:divId w:val="513492335"/>
          <w:tblCellSpacing w:w="15" w:type="dxa"/>
        </w:trPr>
        <w:tc>
          <w:tcPr>
            <w:tcW w:w="215" w:type="pct"/>
            <w:hideMark/>
          </w:tcPr>
          <w:p w14:paraId="46883740" w14:textId="77777777" w:rsidR="00CA2C4B" w:rsidRDefault="00CA2C4B">
            <w:pPr>
              <w:pStyle w:val="Bibliography"/>
              <w:rPr>
                <w:noProof/>
              </w:rPr>
            </w:pPr>
            <w:r>
              <w:rPr>
                <w:noProof/>
              </w:rPr>
              <w:t xml:space="preserve">[11] </w:t>
            </w:r>
          </w:p>
        </w:tc>
        <w:tc>
          <w:tcPr>
            <w:tcW w:w="20" w:type="pct"/>
          </w:tcPr>
          <w:p w14:paraId="03A1B612" w14:textId="77777777" w:rsidR="00CA2C4B" w:rsidRDefault="00CA2C4B">
            <w:pPr>
              <w:pStyle w:val="Bibliography"/>
              <w:rPr>
                <w:noProof/>
              </w:rPr>
            </w:pPr>
          </w:p>
        </w:tc>
        <w:tc>
          <w:tcPr>
            <w:tcW w:w="4699" w:type="pct"/>
            <w:hideMark/>
          </w:tcPr>
          <w:p w14:paraId="72BC59BB" w14:textId="7C8489A7" w:rsidR="00CA2C4B" w:rsidRDefault="00CA2C4B">
            <w:pPr>
              <w:pStyle w:val="Bibliography"/>
              <w:rPr>
                <w:noProof/>
              </w:rPr>
            </w:pPr>
            <w:r>
              <w:rPr>
                <w:noProof/>
              </w:rPr>
              <w:t>FDA, "Benefit-Risk Assessment for New Drug and Biological Products: Draft," October 2021. [Online]. Available: https://www.fda.gov/regulatory-information/search-fda-guidance-documents/benefit-risk-assessment-new-drug-and-biological-products. [Accessed 22 September 2022].</w:t>
            </w:r>
          </w:p>
        </w:tc>
      </w:tr>
      <w:tr w:rsidR="00CA2C4B" w14:paraId="685E1AF6" w14:textId="77777777" w:rsidTr="00CA2C4B">
        <w:trPr>
          <w:divId w:val="513492335"/>
          <w:tblCellSpacing w:w="15" w:type="dxa"/>
        </w:trPr>
        <w:tc>
          <w:tcPr>
            <w:tcW w:w="215" w:type="pct"/>
            <w:hideMark/>
          </w:tcPr>
          <w:p w14:paraId="16580ECC" w14:textId="77777777" w:rsidR="00CA2C4B" w:rsidRDefault="00CA2C4B">
            <w:pPr>
              <w:pStyle w:val="Bibliography"/>
              <w:rPr>
                <w:noProof/>
              </w:rPr>
            </w:pPr>
            <w:r>
              <w:rPr>
                <w:noProof/>
              </w:rPr>
              <w:t xml:space="preserve">[12] </w:t>
            </w:r>
          </w:p>
        </w:tc>
        <w:tc>
          <w:tcPr>
            <w:tcW w:w="20" w:type="pct"/>
          </w:tcPr>
          <w:p w14:paraId="3FB7E3C8" w14:textId="77777777" w:rsidR="00CA2C4B" w:rsidRDefault="00CA2C4B">
            <w:pPr>
              <w:pStyle w:val="Bibliography"/>
              <w:rPr>
                <w:noProof/>
              </w:rPr>
            </w:pPr>
          </w:p>
        </w:tc>
        <w:tc>
          <w:tcPr>
            <w:tcW w:w="4699" w:type="pct"/>
            <w:hideMark/>
          </w:tcPr>
          <w:p w14:paraId="4B3C6E3E" w14:textId="6DD28151" w:rsidR="00CA2C4B" w:rsidRDefault="00CA2C4B">
            <w:pPr>
              <w:pStyle w:val="Bibliography"/>
              <w:rPr>
                <w:noProof/>
              </w:rPr>
            </w:pPr>
            <w:r>
              <w:rPr>
                <w:noProof/>
              </w:rPr>
              <w:t>IMI, "PREFER Recommendations," [Online]. Available: https://www.imi-prefer.eu/recommendations/. [Accessed 28 September 2022].</w:t>
            </w:r>
          </w:p>
        </w:tc>
      </w:tr>
      <w:tr w:rsidR="00CA2C4B" w14:paraId="15A5E91E" w14:textId="77777777" w:rsidTr="00CA2C4B">
        <w:trPr>
          <w:divId w:val="513492335"/>
          <w:tblCellSpacing w:w="15" w:type="dxa"/>
        </w:trPr>
        <w:tc>
          <w:tcPr>
            <w:tcW w:w="215" w:type="pct"/>
            <w:hideMark/>
          </w:tcPr>
          <w:p w14:paraId="7D3D326B" w14:textId="77777777" w:rsidR="00CA2C4B" w:rsidRDefault="00CA2C4B">
            <w:pPr>
              <w:pStyle w:val="Bibliography"/>
              <w:rPr>
                <w:noProof/>
              </w:rPr>
            </w:pPr>
            <w:r>
              <w:rPr>
                <w:noProof/>
              </w:rPr>
              <w:t xml:space="preserve">[13] </w:t>
            </w:r>
          </w:p>
        </w:tc>
        <w:tc>
          <w:tcPr>
            <w:tcW w:w="20" w:type="pct"/>
          </w:tcPr>
          <w:p w14:paraId="7B03681E" w14:textId="77777777" w:rsidR="00CA2C4B" w:rsidRDefault="00CA2C4B">
            <w:pPr>
              <w:pStyle w:val="Bibliography"/>
              <w:rPr>
                <w:noProof/>
              </w:rPr>
            </w:pPr>
          </w:p>
        </w:tc>
        <w:tc>
          <w:tcPr>
            <w:tcW w:w="4699" w:type="pct"/>
            <w:hideMark/>
          </w:tcPr>
          <w:p w14:paraId="2FC43805" w14:textId="0CAA441B" w:rsidR="00CA2C4B" w:rsidRDefault="00CA2C4B">
            <w:pPr>
              <w:pStyle w:val="Bibliography"/>
              <w:rPr>
                <w:noProof/>
              </w:rPr>
            </w:pPr>
            <w:r>
              <w:rPr>
                <w:noProof/>
              </w:rPr>
              <w:t>E. M. Agency, "Benefit-risk methodology," [Online]. Available: https://www.ema.europa.eu/en/about-us/what-we-do/regulatory-science-research/benefit-risk-methodology#section. [Accessed 27 September 2022].</w:t>
            </w:r>
          </w:p>
        </w:tc>
      </w:tr>
      <w:tr w:rsidR="00CA2C4B" w14:paraId="7CB27CC3" w14:textId="77777777" w:rsidTr="00CA2C4B">
        <w:trPr>
          <w:divId w:val="513492335"/>
          <w:tblCellSpacing w:w="15" w:type="dxa"/>
        </w:trPr>
        <w:tc>
          <w:tcPr>
            <w:tcW w:w="215" w:type="pct"/>
            <w:hideMark/>
          </w:tcPr>
          <w:p w14:paraId="18ECDA73" w14:textId="77777777" w:rsidR="00CA2C4B" w:rsidRDefault="00CA2C4B">
            <w:pPr>
              <w:pStyle w:val="Bibliography"/>
              <w:rPr>
                <w:noProof/>
              </w:rPr>
            </w:pPr>
            <w:r>
              <w:rPr>
                <w:noProof/>
              </w:rPr>
              <w:t xml:space="preserve">[14] </w:t>
            </w:r>
          </w:p>
        </w:tc>
        <w:tc>
          <w:tcPr>
            <w:tcW w:w="20" w:type="pct"/>
          </w:tcPr>
          <w:p w14:paraId="3922548F" w14:textId="77777777" w:rsidR="00CA2C4B" w:rsidRDefault="00CA2C4B">
            <w:pPr>
              <w:pStyle w:val="Bibliography"/>
              <w:rPr>
                <w:noProof/>
              </w:rPr>
            </w:pPr>
          </w:p>
        </w:tc>
        <w:tc>
          <w:tcPr>
            <w:tcW w:w="4699" w:type="pct"/>
            <w:hideMark/>
          </w:tcPr>
          <w:p w14:paraId="51852A3E" w14:textId="4CBE3C76" w:rsidR="00CA2C4B" w:rsidRDefault="00CA2C4B">
            <w:pPr>
              <w:pStyle w:val="Bibliography"/>
              <w:rPr>
                <w:noProof/>
              </w:rPr>
            </w:pPr>
            <w:r>
              <w:rPr>
                <w:noProof/>
              </w:rPr>
              <w:t>M. D. I. Consortium, "A framework for incorporating information on patient preferences regarding benefit and risk intro regulatory assessments of new medical technology: Medical Device Innovation Consortium," 2015. [Online]. Available: https://mdic.org/wp-content/uploads/2015/05/MDIC_PCBR_Framework_Web.pdf. [Accessed 28 September 2022].</w:t>
            </w:r>
          </w:p>
        </w:tc>
      </w:tr>
      <w:tr w:rsidR="00CA2C4B" w14:paraId="3A6D6FEA" w14:textId="77777777" w:rsidTr="00CA2C4B">
        <w:trPr>
          <w:divId w:val="513492335"/>
          <w:tblCellSpacing w:w="15" w:type="dxa"/>
        </w:trPr>
        <w:tc>
          <w:tcPr>
            <w:tcW w:w="215" w:type="pct"/>
            <w:hideMark/>
          </w:tcPr>
          <w:p w14:paraId="666948C9" w14:textId="77777777" w:rsidR="00CA2C4B" w:rsidRDefault="00CA2C4B">
            <w:pPr>
              <w:pStyle w:val="Bibliography"/>
              <w:rPr>
                <w:noProof/>
              </w:rPr>
            </w:pPr>
            <w:r>
              <w:rPr>
                <w:noProof/>
              </w:rPr>
              <w:t xml:space="preserve">[15] </w:t>
            </w:r>
          </w:p>
        </w:tc>
        <w:tc>
          <w:tcPr>
            <w:tcW w:w="20" w:type="pct"/>
          </w:tcPr>
          <w:p w14:paraId="69D0DC34" w14:textId="77777777" w:rsidR="00CA2C4B" w:rsidRDefault="00CA2C4B">
            <w:pPr>
              <w:pStyle w:val="Bibliography"/>
              <w:rPr>
                <w:noProof/>
              </w:rPr>
            </w:pPr>
          </w:p>
        </w:tc>
        <w:tc>
          <w:tcPr>
            <w:tcW w:w="4699" w:type="pct"/>
            <w:hideMark/>
          </w:tcPr>
          <w:p w14:paraId="701A4246" w14:textId="7512B5AE" w:rsidR="00CA2C4B" w:rsidRDefault="00CA2C4B">
            <w:pPr>
              <w:pStyle w:val="Bibliography"/>
              <w:rPr>
                <w:noProof/>
              </w:rPr>
            </w:pPr>
            <w:r>
              <w:rPr>
                <w:noProof/>
              </w:rPr>
              <w:t>E. M. Agency, "Guidance document on the content of the &lt;Co-&gt; Rapporteur day &lt;60&gt;&lt;80&gt; critical assessment report," [Online]. Available: https://www.ema.europa.eu/en/documents/regulatory-procedural-guideline/d80-assessment-report-overview-guidance-rev1017_en.pdf. [Accessed 28 September 2022].</w:t>
            </w:r>
          </w:p>
        </w:tc>
      </w:tr>
      <w:tr w:rsidR="00CA2C4B" w14:paraId="5E98DCE1" w14:textId="77777777" w:rsidTr="00CA2C4B">
        <w:trPr>
          <w:divId w:val="513492335"/>
          <w:tblCellSpacing w:w="15" w:type="dxa"/>
        </w:trPr>
        <w:tc>
          <w:tcPr>
            <w:tcW w:w="215" w:type="pct"/>
            <w:hideMark/>
          </w:tcPr>
          <w:p w14:paraId="136B40D9" w14:textId="77777777" w:rsidR="00CA2C4B" w:rsidRDefault="00CA2C4B">
            <w:pPr>
              <w:pStyle w:val="Bibliography"/>
              <w:rPr>
                <w:noProof/>
              </w:rPr>
            </w:pPr>
            <w:r>
              <w:rPr>
                <w:noProof/>
              </w:rPr>
              <w:t xml:space="preserve">[16] </w:t>
            </w:r>
          </w:p>
        </w:tc>
        <w:tc>
          <w:tcPr>
            <w:tcW w:w="20" w:type="pct"/>
          </w:tcPr>
          <w:p w14:paraId="71517A99" w14:textId="77777777" w:rsidR="00CA2C4B" w:rsidRDefault="00CA2C4B">
            <w:pPr>
              <w:pStyle w:val="Bibliography"/>
              <w:rPr>
                <w:noProof/>
              </w:rPr>
            </w:pPr>
          </w:p>
        </w:tc>
        <w:tc>
          <w:tcPr>
            <w:tcW w:w="4699" w:type="pct"/>
            <w:hideMark/>
          </w:tcPr>
          <w:p w14:paraId="14A37A55" w14:textId="0C9CAACF" w:rsidR="00CA2C4B" w:rsidRDefault="00CA2C4B">
            <w:pPr>
              <w:pStyle w:val="Bibliography"/>
              <w:rPr>
                <w:noProof/>
              </w:rPr>
            </w:pPr>
            <w:r>
              <w:rPr>
                <w:noProof/>
              </w:rPr>
              <w:t xml:space="preserve">Arlegui H et al., "Benefit-Risk Assessment of Vaccines. Part I: A Systematic Review to Identify and Describe Studies About Quantitative Benefit-Risk Models Applied to Vaccines," </w:t>
            </w:r>
            <w:r>
              <w:rPr>
                <w:i/>
                <w:iCs/>
                <w:noProof/>
              </w:rPr>
              <w:t xml:space="preserve">Drug Saf, </w:t>
            </w:r>
            <w:r>
              <w:rPr>
                <w:noProof/>
              </w:rPr>
              <w:t xml:space="preserve">vol. 43, no. 11, pp. 1089-1104, 2020. </w:t>
            </w:r>
          </w:p>
        </w:tc>
      </w:tr>
      <w:tr w:rsidR="00CA2C4B" w14:paraId="0B880729" w14:textId="77777777" w:rsidTr="00CA2C4B">
        <w:trPr>
          <w:divId w:val="513492335"/>
          <w:tblCellSpacing w:w="15" w:type="dxa"/>
        </w:trPr>
        <w:tc>
          <w:tcPr>
            <w:tcW w:w="215" w:type="pct"/>
            <w:hideMark/>
          </w:tcPr>
          <w:p w14:paraId="295E80F3" w14:textId="77777777" w:rsidR="00CA2C4B" w:rsidRDefault="00CA2C4B">
            <w:pPr>
              <w:pStyle w:val="Bibliography"/>
              <w:rPr>
                <w:noProof/>
              </w:rPr>
            </w:pPr>
            <w:r>
              <w:rPr>
                <w:noProof/>
              </w:rPr>
              <w:t xml:space="preserve">[17] </w:t>
            </w:r>
          </w:p>
        </w:tc>
        <w:tc>
          <w:tcPr>
            <w:tcW w:w="20" w:type="pct"/>
          </w:tcPr>
          <w:p w14:paraId="702C2DE3" w14:textId="77777777" w:rsidR="00CA2C4B" w:rsidRDefault="00CA2C4B">
            <w:pPr>
              <w:pStyle w:val="Bibliography"/>
              <w:rPr>
                <w:noProof/>
              </w:rPr>
            </w:pPr>
          </w:p>
        </w:tc>
        <w:tc>
          <w:tcPr>
            <w:tcW w:w="4699" w:type="pct"/>
            <w:hideMark/>
          </w:tcPr>
          <w:p w14:paraId="2985C29F" w14:textId="5DD930A6" w:rsidR="00CA2C4B" w:rsidRDefault="00CA2C4B">
            <w:pPr>
              <w:pStyle w:val="Bibliography"/>
              <w:rPr>
                <w:noProof/>
              </w:rPr>
            </w:pPr>
            <w:r>
              <w:rPr>
                <w:noProof/>
              </w:rPr>
              <w:t xml:space="preserve">Arlegui H et al., "Benefit-Risk Assessment of Vaccines. Part II: Proposal Towards Consolidated Standards of Reporting Quantitative Benefit-Risk Models Applied to Vaccines (BRIVAC)," </w:t>
            </w:r>
            <w:r>
              <w:rPr>
                <w:i/>
                <w:iCs/>
                <w:noProof/>
              </w:rPr>
              <w:t xml:space="preserve">Drug Saf, </w:t>
            </w:r>
            <w:r>
              <w:rPr>
                <w:noProof/>
              </w:rPr>
              <w:t xml:space="preserve">vol. 43, no. 11, pp. 1105-1120, 2020. </w:t>
            </w:r>
          </w:p>
        </w:tc>
      </w:tr>
      <w:tr w:rsidR="00CA2C4B" w14:paraId="36A0A9D0" w14:textId="77777777" w:rsidTr="00CA2C4B">
        <w:trPr>
          <w:divId w:val="513492335"/>
          <w:tblCellSpacing w:w="15" w:type="dxa"/>
        </w:trPr>
        <w:tc>
          <w:tcPr>
            <w:tcW w:w="215" w:type="pct"/>
            <w:hideMark/>
          </w:tcPr>
          <w:p w14:paraId="7C87689D" w14:textId="77777777" w:rsidR="00CA2C4B" w:rsidRDefault="00CA2C4B">
            <w:pPr>
              <w:pStyle w:val="Bibliography"/>
              <w:rPr>
                <w:noProof/>
              </w:rPr>
            </w:pPr>
            <w:r>
              <w:rPr>
                <w:noProof/>
              </w:rPr>
              <w:t xml:space="preserve">[18] </w:t>
            </w:r>
          </w:p>
        </w:tc>
        <w:tc>
          <w:tcPr>
            <w:tcW w:w="20" w:type="pct"/>
          </w:tcPr>
          <w:p w14:paraId="37FAA375" w14:textId="77777777" w:rsidR="00CA2C4B" w:rsidRDefault="00CA2C4B">
            <w:pPr>
              <w:pStyle w:val="Bibliography"/>
              <w:rPr>
                <w:noProof/>
              </w:rPr>
            </w:pPr>
          </w:p>
        </w:tc>
        <w:tc>
          <w:tcPr>
            <w:tcW w:w="4699" w:type="pct"/>
            <w:hideMark/>
          </w:tcPr>
          <w:p w14:paraId="71C53C21" w14:textId="69E958A5" w:rsidR="00CA2C4B" w:rsidRDefault="00CA2C4B">
            <w:pPr>
              <w:pStyle w:val="Bibliography"/>
              <w:rPr>
                <w:noProof/>
              </w:rPr>
            </w:pPr>
            <w:r>
              <w:rPr>
                <w:noProof/>
              </w:rPr>
              <w:t>CDC, "COVID-19 ACIP Vaccine Recommendations," [Online]. Available: https://www.cdc.gov/vaccines/hcp/acip-recs/vacc-specific/covid-19.html. [Accessed 29 July 2022].</w:t>
            </w:r>
          </w:p>
        </w:tc>
      </w:tr>
      <w:tr w:rsidR="00CA2C4B" w14:paraId="777B6D4B" w14:textId="77777777" w:rsidTr="00CA2C4B">
        <w:trPr>
          <w:divId w:val="513492335"/>
          <w:tblCellSpacing w:w="15" w:type="dxa"/>
        </w:trPr>
        <w:tc>
          <w:tcPr>
            <w:tcW w:w="215" w:type="pct"/>
            <w:hideMark/>
          </w:tcPr>
          <w:p w14:paraId="4C9F52B9" w14:textId="77777777" w:rsidR="00CA2C4B" w:rsidRDefault="00CA2C4B">
            <w:pPr>
              <w:pStyle w:val="Bibliography"/>
              <w:rPr>
                <w:noProof/>
              </w:rPr>
            </w:pPr>
            <w:r>
              <w:rPr>
                <w:noProof/>
              </w:rPr>
              <w:lastRenderedPageBreak/>
              <w:t xml:space="preserve">[19] </w:t>
            </w:r>
          </w:p>
        </w:tc>
        <w:tc>
          <w:tcPr>
            <w:tcW w:w="20" w:type="pct"/>
          </w:tcPr>
          <w:p w14:paraId="13E1AA5C" w14:textId="77777777" w:rsidR="00CA2C4B" w:rsidRDefault="00CA2C4B">
            <w:pPr>
              <w:pStyle w:val="Bibliography"/>
              <w:rPr>
                <w:noProof/>
              </w:rPr>
            </w:pPr>
          </w:p>
        </w:tc>
        <w:tc>
          <w:tcPr>
            <w:tcW w:w="4699" w:type="pct"/>
            <w:hideMark/>
          </w:tcPr>
          <w:p w14:paraId="17356BF6" w14:textId="255DA077" w:rsidR="00CA2C4B" w:rsidRDefault="00CA2C4B">
            <w:pPr>
              <w:pStyle w:val="Bibliography"/>
              <w:rPr>
                <w:noProof/>
              </w:rPr>
            </w:pPr>
            <w:r>
              <w:rPr>
                <w:noProof/>
              </w:rPr>
              <w:t>FDA, "Benefit-Risk Assessment for New Drug and Biological Products, Guidance for Industry: Draft," [Online]. Available: https://www.fda.gov/regulatory-information/search-fda-guidance-documents/benefit-risk-assessment-new-drug-and-biological-products . [Accessed 2022 December 1].</w:t>
            </w:r>
          </w:p>
        </w:tc>
      </w:tr>
      <w:tr w:rsidR="00CA2C4B" w14:paraId="79DC83EC" w14:textId="77777777" w:rsidTr="00CA2C4B">
        <w:trPr>
          <w:divId w:val="513492335"/>
          <w:tblCellSpacing w:w="15" w:type="dxa"/>
        </w:trPr>
        <w:tc>
          <w:tcPr>
            <w:tcW w:w="215" w:type="pct"/>
            <w:hideMark/>
          </w:tcPr>
          <w:p w14:paraId="551CC789" w14:textId="77777777" w:rsidR="00CA2C4B" w:rsidRDefault="00CA2C4B">
            <w:pPr>
              <w:pStyle w:val="Bibliography"/>
              <w:rPr>
                <w:noProof/>
              </w:rPr>
            </w:pPr>
            <w:r>
              <w:rPr>
                <w:noProof/>
              </w:rPr>
              <w:t xml:space="preserve">[20] </w:t>
            </w:r>
          </w:p>
        </w:tc>
        <w:tc>
          <w:tcPr>
            <w:tcW w:w="20" w:type="pct"/>
          </w:tcPr>
          <w:p w14:paraId="6DA7BD94" w14:textId="77777777" w:rsidR="00CA2C4B" w:rsidRDefault="00CA2C4B">
            <w:pPr>
              <w:pStyle w:val="Bibliography"/>
              <w:rPr>
                <w:noProof/>
              </w:rPr>
            </w:pPr>
          </w:p>
        </w:tc>
        <w:tc>
          <w:tcPr>
            <w:tcW w:w="4699" w:type="pct"/>
            <w:hideMark/>
          </w:tcPr>
          <w:p w14:paraId="4C1FC52F" w14:textId="53513694" w:rsidR="00CA2C4B" w:rsidRDefault="00CA2C4B">
            <w:pPr>
              <w:pStyle w:val="Bibliography"/>
              <w:rPr>
                <w:noProof/>
              </w:rPr>
            </w:pPr>
            <w:r>
              <w:rPr>
                <w:noProof/>
              </w:rPr>
              <w:t>VAERS, "VAERS Frequently Asked Questions," [Online]. Available: https://vaers.hhs.gov/faq.html. [Accessed 1 December 2022].</w:t>
            </w:r>
          </w:p>
        </w:tc>
      </w:tr>
      <w:tr w:rsidR="00CA2C4B" w14:paraId="0439CEF6" w14:textId="77777777" w:rsidTr="00CA2C4B">
        <w:trPr>
          <w:divId w:val="513492335"/>
          <w:tblCellSpacing w:w="15" w:type="dxa"/>
        </w:trPr>
        <w:tc>
          <w:tcPr>
            <w:tcW w:w="215" w:type="pct"/>
            <w:hideMark/>
          </w:tcPr>
          <w:p w14:paraId="1BBDEB80" w14:textId="77777777" w:rsidR="00CA2C4B" w:rsidRDefault="00CA2C4B">
            <w:pPr>
              <w:pStyle w:val="Bibliography"/>
              <w:rPr>
                <w:noProof/>
              </w:rPr>
            </w:pPr>
            <w:r>
              <w:rPr>
                <w:noProof/>
              </w:rPr>
              <w:t xml:space="preserve">[21] </w:t>
            </w:r>
          </w:p>
        </w:tc>
        <w:tc>
          <w:tcPr>
            <w:tcW w:w="20" w:type="pct"/>
          </w:tcPr>
          <w:p w14:paraId="21625FBD" w14:textId="77777777" w:rsidR="00CA2C4B" w:rsidRDefault="00CA2C4B">
            <w:pPr>
              <w:pStyle w:val="Bibliography"/>
              <w:rPr>
                <w:noProof/>
              </w:rPr>
            </w:pPr>
          </w:p>
        </w:tc>
        <w:tc>
          <w:tcPr>
            <w:tcW w:w="4699" w:type="pct"/>
            <w:hideMark/>
          </w:tcPr>
          <w:p w14:paraId="60003D3A" w14:textId="5720D398" w:rsidR="00CA2C4B" w:rsidRDefault="00CA2C4B">
            <w:pPr>
              <w:pStyle w:val="Bibliography"/>
              <w:rPr>
                <w:noProof/>
              </w:rPr>
            </w:pPr>
            <w:r>
              <w:rPr>
                <w:noProof/>
              </w:rPr>
              <w:t>EMA, "M4E(R2) - Common technical document for the registration of pharmaceuticals for human use – Efficacy," [Online]. Available: https://www.ema.europa.eu/en/documents/scientific-guideline/ich-m4e-r2-common-technical-document-registration-pharmaceuticals-human-use-efficacy-step-5_en.pdf. [Accessed 1 December 2022].</w:t>
            </w:r>
          </w:p>
        </w:tc>
      </w:tr>
      <w:tr w:rsidR="00CA2C4B" w14:paraId="5B83E059" w14:textId="77777777" w:rsidTr="00CA2C4B">
        <w:trPr>
          <w:divId w:val="513492335"/>
          <w:tblCellSpacing w:w="15" w:type="dxa"/>
        </w:trPr>
        <w:tc>
          <w:tcPr>
            <w:tcW w:w="215" w:type="pct"/>
            <w:hideMark/>
          </w:tcPr>
          <w:p w14:paraId="38C574A1" w14:textId="77777777" w:rsidR="00CA2C4B" w:rsidRDefault="00CA2C4B">
            <w:pPr>
              <w:pStyle w:val="Bibliography"/>
              <w:rPr>
                <w:noProof/>
              </w:rPr>
            </w:pPr>
            <w:r>
              <w:rPr>
                <w:noProof/>
              </w:rPr>
              <w:t xml:space="preserve">[22] </w:t>
            </w:r>
          </w:p>
        </w:tc>
        <w:tc>
          <w:tcPr>
            <w:tcW w:w="20" w:type="pct"/>
          </w:tcPr>
          <w:p w14:paraId="484DE91A" w14:textId="77777777" w:rsidR="00CA2C4B" w:rsidRDefault="00CA2C4B">
            <w:pPr>
              <w:pStyle w:val="Bibliography"/>
              <w:rPr>
                <w:noProof/>
              </w:rPr>
            </w:pPr>
          </w:p>
        </w:tc>
        <w:tc>
          <w:tcPr>
            <w:tcW w:w="4699" w:type="pct"/>
            <w:hideMark/>
          </w:tcPr>
          <w:p w14:paraId="0A182659" w14:textId="55FF9041" w:rsidR="00CA2C4B" w:rsidRDefault="00CA2C4B">
            <w:pPr>
              <w:pStyle w:val="Bibliography"/>
              <w:rPr>
                <w:noProof/>
              </w:rPr>
            </w:pPr>
            <w:r>
              <w:rPr>
                <w:noProof/>
              </w:rPr>
              <w:t>PrOACT-URL, "The Pharmacoepidemiological Research on Outcomes of Therapeutics by a European Consortium (PROTECT)," [Online]. Available: https://protectbenefitrisk.eu/PrOACT-URL.html. [Accessed 1 December 2022].</w:t>
            </w:r>
          </w:p>
        </w:tc>
      </w:tr>
      <w:tr w:rsidR="00CA2C4B" w14:paraId="2BF2E1D6" w14:textId="77777777" w:rsidTr="00CA2C4B">
        <w:trPr>
          <w:divId w:val="513492335"/>
          <w:tblCellSpacing w:w="15" w:type="dxa"/>
        </w:trPr>
        <w:tc>
          <w:tcPr>
            <w:tcW w:w="215" w:type="pct"/>
            <w:hideMark/>
          </w:tcPr>
          <w:p w14:paraId="6D42A320" w14:textId="77777777" w:rsidR="00CA2C4B" w:rsidRDefault="00CA2C4B">
            <w:pPr>
              <w:pStyle w:val="Bibliography"/>
              <w:rPr>
                <w:noProof/>
              </w:rPr>
            </w:pPr>
            <w:r>
              <w:rPr>
                <w:noProof/>
              </w:rPr>
              <w:t xml:space="preserve">[23] </w:t>
            </w:r>
          </w:p>
        </w:tc>
        <w:tc>
          <w:tcPr>
            <w:tcW w:w="20" w:type="pct"/>
          </w:tcPr>
          <w:p w14:paraId="0C79048D" w14:textId="77777777" w:rsidR="00CA2C4B" w:rsidRDefault="00CA2C4B">
            <w:pPr>
              <w:pStyle w:val="Bibliography"/>
              <w:rPr>
                <w:noProof/>
              </w:rPr>
            </w:pPr>
          </w:p>
        </w:tc>
        <w:tc>
          <w:tcPr>
            <w:tcW w:w="4699" w:type="pct"/>
            <w:hideMark/>
          </w:tcPr>
          <w:p w14:paraId="3078F8F0" w14:textId="6FF45BF7" w:rsidR="00CA2C4B" w:rsidRDefault="00CA2C4B">
            <w:pPr>
              <w:pStyle w:val="Bibliography"/>
              <w:rPr>
                <w:noProof/>
              </w:rPr>
            </w:pPr>
            <w:r>
              <w:rPr>
                <w:noProof/>
              </w:rPr>
              <w:t>CDC, "Population-Level Risk-Benefit Analysis," [Online]. Available: https://www.cdc.gov/vaccines/covid-19/info-by-product/janssen/risk-benefit-analysis.html. [Accessed 1 December 2022].</w:t>
            </w:r>
          </w:p>
        </w:tc>
      </w:tr>
      <w:tr w:rsidR="00CA2C4B" w14:paraId="20202D46" w14:textId="77777777" w:rsidTr="00CA2C4B">
        <w:trPr>
          <w:divId w:val="513492335"/>
          <w:tblCellSpacing w:w="15" w:type="dxa"/>
        </w:trPr>
        <w:tc>
          <w:tcPr>
            <w:tcW w:w="215" w:type="pct"/>
            <w:hideMark/>
          </w:tcPr>
          <w:p w14:paraId="1FCE8FA2" w14:textId="77777777" w:rsidR="00CA2C4B" w:rsidRDefault="00CA2C4B">
            <w:pPr>
              <w:pStyle w:val="Bibliography"/>
              <w:rPr>
                <w:noProof/>
              </w:rPr>
            </w:pPr>
            <w:r>
              <w:rPr>
                <w:noProof/>
              </w:rPr>
              <w:t xml:space="preserve">[24] </w:t>
            </w:r>
          </w:p>
        </w:tc>
        <w:tc>
          <w:tcPr>
            <w:tcW w:w="20" w:type="pct"/>
          </w:tcPr>
          <w:p w14:paraId="1A635264" w14:textId="77777777" w:rsidR="00CA2C4B" w:rsidRDefault="00CA2C4B">
            <w:pPr>
              <w:pStyle w:val="Bibliography"/>
              <w:rPr>
                <w:noProof/>
              </w:rPr>
            </w:pPr>
          </w:p>
        </w:tc>
        <w:tc>
          <w:tcPr>
            <w:tcW w:w="4699" w:type="pct"/>
            <w:hideMark/>
          </w:tcPr>
          <w:p w14:paraId="5268F8DE" w14:textId="19B04567" w:rsidR="00CA2C4B" w:rsidRDefault="00CA2C4B">
            <w:pPr>
              <w:pStyle w:val="Bibliography"/>
              <w:rPr>
                <w:noProof/>
              </w:rPr>
            </w:pPr>
            <w:r>
              <w:rPr>
                <w:noProof/>
              </w:rPr>
              <w:t>CDC, "Population-Level Risk-Benefit Analysis," [Online]. Available: https://www.cdc.gov/vaccines/covid-19/info-by-product/janssen/risk-benefit-analysis.html. [Accessed 1 December 2022].</w:t>
            </w:r>
          </w:p>
        </w:tc>
      </w:tr>
      <w:tr w:rsidR="00CA2C4B" w14:paraId="50BC6B1A" w14:textId="77777777" w:rsidTr="00CA2C4B">
        <w:trPr>
          <w:divId w:val="513492335"/>
          <w:tblCellSpacing w:w="15" w:type="dxa"/>
        </w:trPr>
        <w:tc>
          <w:tcPr>
            <w:tcW w:w="215" w:type="pct"/>
            <w:hideMark/>
          </w:tcPr>
          <w:p w14:paraId="0D759AFE" w14:textId="77777777" w:rsidR="00CA2C4B" w:rsidRDefault="00CA2C4B">
            <w:pPr>
              <w:pStyle w:val="Bibliography"/>
              <w:rPr>
                <w:noProof/>
              </w:rPr>
            </w:pPr>
            <w:r>
              <w:rPr>
                <w:noProof/>
              </w:rPr>
              <w:t xml:space="preserve">[25] </w:t>
            </w:r>
          </w:p>
        </w:tc>
        <w:tc>
          <w:tcPr>
            <w:tcW w:w="20" w:type="pct"/>
          </w:tcPr>
          <w:p w14:paraId="4DD5B62D" w14:textId="77777777" w:rsidR="00CA2C4B" w:rsidRDefault="00CA2C4B">
            <w:pPr>
              <w:pStyle w:val="Bibliography"/>
              <w:rPr>
                <w:noProof/>
              </w:rPr>
            </w:pPr>
          </w:p>
        </w:tc>
        <w:tc>
          <w:tcPr>
            <w:tcW w:w="4699" w:type="pct"/>
            <w:hideMark/>
          </w:tcPr>
          <w:p w14:paraId="73C7BD77" w14:textId="6F5C953A" w:rsidR="00CA2C4B" w:rsidRDefault="00CA2C4B">
            <w:pPr>
              <w:pStyle w:val="Bibliography"/>
              <w:rPr>
                <w:noProof/>
              </w:rPr>
            </w:pPr>
            <w:r>
              <w:rPr>
                <w:noProof/>
              </w:rPr>
              <w:t>CIOMS, "Council for International Organizations of Medical Sciences (CIOMS) Cumulative Pharmacovigilance Glossary Version 1.1," 3 June 2021. [Online]. Available: https://cioms.ch/wp-content/uploads/2021/03/CIOMS-Cumulative-Glossary_v1.1_3Jun2021.pdf. [Accessed 6 December 2022].</w:t>
            </w:r>
          </w:p>
        </w:tc>
      </w:tr>
      <w:tr w:rsidR="00CA2C4B" w14:paraId="317D0159" w14:textId="77777777" w:rsidTr="00CA2C4B">
        <w:trPr>
          <w:divId w:val="513492335"/>
          <w:tblCellSpacing w:w="15" w:type="dxa"/>
        </w:trPr>
        <w:tc>
          <w:tcPr>
            <w:tcW w:w="215" w:type="pct"/>
            <w:hideMark/>
          </w:tcPr>
          <w:p w14:paraId="67659B6F" w14:textId="77777777" w:rsidR="00CA2C4B" w:rsidRDefault="00CA2C4B">
            <w:pPr>
              <w:pStyle w:val="Bibliography"/>
              <w:rPr>
                <w:noProof/>
              </w:rPr>
            </w:pPr>
            <w:r>
              <w:rPr>
                <w:noProof/>
              </w:rPr>
              <w:t xml:space="preserve">[26] </w:t>
            </w:r>
          </w:p>
        </w:tc>
        <w:tc>
          <w:tcPr>
            <w:tcW w:w="20" w:type="pct"/>
          </w:tcPr>
          <w:p w14:paraId="060936D7" w14:textId="77777777" w:rsidR="00CA2C4B" w:rsidRDefault="00CA2C4B">
            <w:pPr>
              <w:pStyle w:val="Bibliography"/>
              <w:rPr>
                <w:noProof/>
              </w:rPr>
            </w:pPr>
          </w:p>
        </w:tc>
        <w:tc>
          <w:tcPr>
            <w:tcW w:w="4699" w:type="pct"/>
            <w:hideMark/>
          </w:tcPr>
          <w:p w14:paraId="4008ED1B" w14:textId="1ABAA99A" w:rsidR="00CA2C4B" w:rsidRDefault="00CA2C4B">
            <w:pPr>
              <w:pStyle w:val="Bibliography"/>
              <w:rPr>
                <w:noProof/>
              </w:rPr>
            </w:pPr>
            <w:r>
              <w:rPr>
                <w:noProof/>
              </w:rPr>
              <w:t>CIOMS, "Council for International Organizations of Medical Sciences (CIOMS) Guide to Active Vaccine Safety – Geneva 2017," [Online]. Available: https://cioms.ch/wp-content/uploads/2020/04/240WEB-CIOMS-Guide-AVSS-20170202-protected.pdf. [Accessed 6 December 2022].</w:t>
            </w:r>
          </w:p>
        </w:tc>
      </w:tr>
      <w:tr w:rsidR="00CA2C4B" w14:paraId="161D2C25" w14:textId="77777777" w:rsidTr="00CA2C4B">
        <w:trPr>
          <w:divId w:val="513492335"/>
          <w:tblCellSpacing w:w="15" w:type="dxa"/>
        </w:trPr>
        <w:tc>
          <w:tcPr>
            <w:tcW w:w="215" w:type="pct"/>
            <w:hideMark/>
          </w:tcPr>
          <w:p w14:paraId="23A97353" w14:textId="77777777" w:rsidR="00CA2C4B" w:rsidRDefault="00CA2C4B">
            <w:pPr>
              <w:pStyle w:val="Bibliography"/>
              <w:rPr>
                <w:noProof/>
              </w:rPr>
            </w:pPr>
            <w:r>
              <w:rPr>
                <w:noProof/>
              </w:rPr>
              <w:t xml:space="preserve">[27] </w:t>
            </w:r>
          </w:p>
        </w:tc>
        <w:tc>
          <w:tcPr>
            <w:tcW w:w="20" w:type="pct"/>
          </w:tcPr>
          <w:p w14:paraId="79A3A878" w14:textId="77777777" w:rsidR="00CA2C4B" w:rsidRDefault="00CA2C4B">
            <w:pPr>
              <w:pStyle w:val="Bibliography"/>
              <w:rPr>
                <w:noProof/>
              </w:rPr>
            </w:pPr>
          </w:p>
        </w:tc>
        <w:tc>
          <w:tcPr>
            <w:tcW w:w="4699" w:type="pct"/>
            <w:hideMark/>
          </w:tcPr>
          <w:p w14:paraId="36B9EF46" w14:textId="2A898AEE" w:rsidR="00CA2C4B" w:rsidRDefault="00CA2C4B">
            <w:pPr>
              <w:pStyle w:val="Bibliography"/>
              <w:rPr>
                <w:noProof/>
              </w:rPr>
            </w:pPr>
            <w:r>
              <w:rPr>
                <w:noProof/>
              </w:rPr>
              <w:t xml:space="preserve">Hughes M. et al., "Recommendations for Benefit Risk Assessment Methodologies and Visual Representations," </w:t>
            </w:r>
            <w:r>
              <w:rPr>
                <w:i/>
                <w:iCs/>
                <w:noProof/>
              </w:rPr>
              <w:t xml:space="preserve">Pharmacoepidemiol Drug Saf, </w:t>
            </w:r>
            <w:r>
              <w:rPr>
                <w:noProof/>
              </w:rPr>
              <w:t xml:space="preserve">vol. 25, no. 3, pp. 251-62, 2016. </w:t>
            </w:r>
          </w:p>
        </w:tc>
      </w:tr>
      <w:tr w:rsidR="00CA2C4B" w14:paraId="7317CC2A" w14:textId="77777777" w:rsidTr="00CA2C4B">
        <w:trPr>
          <w:divId w:val="513492335"/>
          <w:tblCellSpacing w:w="15" w:type="dxa"/>
        </w:trPr>
        <w:tc>
          <w:tcPr>
            <w:tcW w:w="215" w:type="pct"/>
            <w:hideMark/>
          </w:tcPr>
          <w:p w14:paraId="78334781" w14:textId="77777777" w:rsidR="00CA2C4B" w:rsidRDefault="00CA2C4B">
            <w:pPr>
              <w:pStyle w:val="Bibliography"/>
              <w:rPr>
                <w:noProof/>
              </w:rPr>
            </w:pPr>
            <w:r>
              <w:rPr>
                <w:noProof/>
              </w:rPr>
              <w:t xml:space="preserve">[28] </w:t>
            </w:r>
          </w:p>
        </w:tc>
        <w:tc>
          <w:tcPr>
            <w:tcW w:w="20" w:type="pct"/>
          </w:tcPr>
          <w:p w14:paraId="3B85F73C" w14:textId="77777777" w:rsidR="00CA2C4B" w:rsidRDefault="00CA2C4B">
            <w:pPr>
              <w:pStyle w:val="Bibliography"/>
              <w:rPr>
                <w:noProof/>
              </w:rPr>
            </w:pPr>
          </w:p>
        </w:tc>
        <w:tc>
          <w:tcPr>
            <w:tcW w:w="4699" w:type="pct"/>
            <w:hideMark/>
          </w:tcPr>
          <w:p w14:paraId="624B0550" w14:textId="168305E6" w:rsidR="00CA2C4B" w:rsidRDefault="00CA2C4B">
            <w:pPr>
              <w:pStyle w:val="Bibliography"/>
              <w:rPr>
                <w:noProof/>
              </w:rPr>
            </w:pPr>
            <w:r>
              <w:rPr>
                <w:noProof/>
              </w:rPr>
              <w:t>FDA, "Medical Device Innovation Consortium (MDIC) Patient Centered Benefit‐Risk Project Report: A Framework for Incorporating Information on Patient Preferences Regarding Benefit and Risk into Regulatory Assessments of New Medical Technology Medical Device Inno," [Online]. Available: https://www.fda.gov/media/95591/download. [Accessed 6 December 2022].</w:t>
            </w:r>
          </w:p>
        </w:tc>
      </w:tr>
      <w:tr w:rsidR="00CA2C4B" w14:paraId="04825D12" w14:textId="77777777" w:rsidTr="00CA2C4B">
        <w:trPr>
          <w:divId w:val="513492335"/>
          <w:tblCellSpacing w:w="15" w:type="dxa"/>
        </w:trPr>
        <w:tc>
          <w:tcPr>
            <w:tcW w:w="215" w:type="pct"/>
            <w:hideMark/>
          </w:tcPr>
          <w:p w14:paraId="73005BFE" w14:textId="77777777" w:rsidR="00CA2C4B" w:rsidRDefault="00CA2C4B">
            <w:pPr>
              <w:pStyle w:val="Bibliography"/>
              <w:rPr>
                <w:noProof/>
              </w:rPr>
            </w:pPr>
            <w:r>
              <w:rPr>
                <w:noProof/>
              </w:rPr>
              <w:t xml:space="preserve">[29] </w:t>
            </w:r>
          </w:p>
        </w:tc>
        <w:tc>
          <w:tcPr>
            <w:tcW w:w="20" w:type="pct"/>
          </w:tcPr>
          <w:p w14:paraId="1D76DE28" w14:textId="77777777" w:rsidR="00CA2C4B" w:rsidRDefault="00CA2C4B">
            <w:pPr>
              <w:pStyle w:val="Bibliography"/>
              <w:rPr>
                <w:noProof/>
              </w:rPr>
            </w:pPr>
          </w:p>
        </w:tc>
        <w:tc>
          <w:tcPr>
            <w:tcW w:w="4699" w:type="pct"/>
            <w:hideMark/>
          </w:tcPr>
          <w:p w14:paraId="6FD61F79" w14:textId="1D6A98DB" w:rsidR="00CA2C4B" w:rsidRDefault="00CA2C4B">
            <w:pPr>
              <w:pStyle w:val="Bibliography"/>
              <w:rPr>
                <w:noProof/>
              </w:rPr>
            </w:pPr>
            <w:r>
              <w:rPr>
                <w:noProof/>
              </w:rPr>
              <w:t xml:space="preserve">Levitan BS et al., "Application of the BRAT Framework to Case Studies: Observations and Insights," </w:t>
            </w:r>
            <w:r>
              <w:rPr>
                <w:i/>
                <w:iCs/>
                <w:noProof/>
              </w:rPr>
              <w:t xml:space="preserve">Clin Pharmacol Ther, </w:t>
            </w:r>
            <w:r>
              <w:rPr>
                <w:noProof/>
              </w:rPr>
              <w:t xml:space="preserve">vol. 89, no. 2, pp. 217-24, 2011. </w:t>
            </w:r>
          </w:p>
        </w:tc>
      </w:tr>
      <w:tr w:rsidR="00CA2C4B" w14:paraId="22A0D165" w14:textId="77777777" w:rsidTr="00CA2C4B">
        <w:trPr>
          <w:divId w:val="513492335"/>
          <w:tblCellSpacing w:w="15" w:type="dxa"/>
        </w:trPr>
        <w:tc>
          <w:tcPr>
            <w:tcW w:w="215" w:type="pct"/>
            <w:hideMark/>
          </w:tcPr>
          <w:p w14:paraId="1839359C" w14:textId="77777777" w:rsidR="00CA2C4B" w:rsidRDefault="00CA2C4B">
            <w:pPr>
              <w:pStyle w:val="Bibliography"/>
              <w:rPr>
                <w:noProof/>
              </w:rPr>
            </w:pPr>
            <w:r>
              <w:rPr>
                <w:noProof/>
              </w:rPr>
              <w:t xml:space="preserve">[30] </w:t>
            </w:r>
          </w:p>
        </w:tc>
        <w:tc>
          <w:tcPr>
            <w:tcW w:w="20" w:type="pct"/>
          </w:tcPr>
          <w:p w14:paraId="3DE8719D" w14:textId="77777777" w:rsidR="00CA2C4B" w:rsidRDefault="00CA2C4B">
            <w:pPr>
              <w:pStyle w:val="Bibliography"/>
              <w:rPr>
                <w:noProof/>
              </w:rPr>
            </w:pPr>
          </w:p>
        </w:tc>
        <w:tc>
          <w:tcPr>
            <w:tcW w:w="4699" w:type="pct"/>
            <w:hideMark/>
          </w:tcPr>
          <w:p w14:paraId="65CA72BE" w14:textId="74355AC7" w:rsidR="00CA2C4B" w:rsidRDefault="00CA2C4B">
            <w:pPr>
              <w:pStyle w:val="Bibliography"/>
              <w:rPr>
                <w:noProof/>
              </w:rPr>
            </w:pPr>
            <w:r>
              <w:rPr>
                <w:noProof/>
              </w:rPr>
              <w:t>EMA, "Benefit-risk methodology project - Report on risk perception study module," 2012. [Online]. Available: https://www.ema.europa.eu/en/documents/report/benefit-risk-</w:t>
            </w:r>
            <w:r>
              <w:rPr>
                <w:noProof/>
              </w:rPr>
              <w:lastRenderedPageBreak/>
              <w:t>methodology-project-report-risk-perception-study-module_en.pdf. [Accessed 6 December 2022].</w:t>
            </w:r>
          </w:p>
        </w:tc>
      </w:tr>
      <w:tr w:rsidR="00CA2C4B" w14:paraId="24B26B7A" w14:textId="77777777" w:rsidTr="00CA2C4B">
        <w:trPr>
          <w:divId w:val="513492335"/>
          <w:tblCellSpacing w:w="15" w:type="dxa"/>
        </w:trPr>
        <w:tc>
          <w:tcPr>
            <w:tcW w:w="215" w:type="pct"/>
            <w:hideMark/>
          </w:tcPr>
          <w:p w14:paraId="0E8DD886" w14:textId="77777777" w:rsidR="00CA2C4B" w:rsidRDefault="00CA2C4B">
            <w:pPr>
              <w:pStyle w:val="Bibliography"/>
              <w:rPr>
                <w:noProof/>
              </w:rPr>
            </w:pPr>
            <w:r>
              <w:rPr>
                <w:noProof/>
              </w:rPr>
              <w:lastRenderedPageBreak/>
              <w:t xml:space="preserve">[31] </w:t>
            </w:r>
          </w:p>
        </w:tc>
        <w:tc>
          <w:tcPr>
            <w:tcW w:w="20" w:type="pct"/>
          </w:tcPr>
          <w:p w14:paraId="63A9FB03" w14:textId="77777777" w:rsidR="00CA2C4B" w:rsidRDefault="00CA2C4B">
            <w:pPr>
              <w:pStyle w:val="Bibliography"/>
              <w:rPr>
                <w:noProof/>
              </w:rPr>
            </w:pPr>
          </w:p>
        </w:tc>
        <w:tc>
          <w:tcPr>
            <w:tcW w:w="4699" w:type="pct"/>
            <w:hideMark/>
          </w:tcPr>
          <w:p w14:paraId="72B8556F" w14:textId="195B6E7A" w:rsidR="00CA2C4B" w:rsidRDefault="00CA2C4B">
            <w:pPr>
              <w:pStyle w:val="Bibliography"/>
              <w:rPr>
                <w:noProof/>
              </w:rPr>
            </w:pPr>
            <w:r>
              <w:rPr>
                <w:noProof/>
              </w:rPr>
              <w:t>EMA, "Guideline on good pharmacovigilance practices (GVP) Module V – Risk management systems (Rev 2)," [Online]. Available: https://www.ema.europa.eu/en/documents/scientific-guideline/guideline-good-pharmacovigilance-practices-module-v-risk-management-systems-rev-2_en.pdf. [Accessed 1 December 2022].</w:t>
            </w:r>
          </w:p>
        </w:tc>
      </w:tr>
      <w:tr w:rsidR="00CA2C4B" w14:paraId="7A8C8814" w14:textId="77777777" w:rsidTr="00CA2C4B">
        <w:trPr>
          <w:divId w:val="513492335"/>
          <w:tblCellSpacing w:w="15" w:type="dxa"/>
        </w:trPr>
        <w:tc>
          <w:tcPr>
            <w:tcW w:w="215" w:type="pct"/>
            <w:hideMark/>
          </w:tcPr>
          <w:p w14:paraId="6BD1ED60" w14:textId="77777777" w:rsidR="00CA2C4B" w:rsidRDefault="00CA2C4B">
            <w:pPr>
              <w:pStyle w:val="Bibliography"/>
              <w:rPr>
                <w:noProof/>
              </w:rPr>
            </w:pPr>
            <w:r>
              <w:rPr>
                <w:noProof/>
              </w:rPr>
              <w:t xml:space="preserve">[32] </w:t>
            </w:r>
          </w:p>
        </w:tc>
        <w:tc>
          <w:tcPr>
            <w:tcW w:w="20" w:type="pct"/>
          </w:tcPr>
          <w:p w14:paraId="6CCFE298" w14:textId="77777777" w:rsidR="00CA2C4B" w:rsidRDefault="00CA2C4B">
            <w:pPr>
              <w:pStyle w:val="Bibliography"/>
              <w:rPr>
                <w:noProof/>
              </w:rPr>
            </w:pPr>
          </w:p>
        </w:tc>
        <w:tc>
          <w:tcPr>
            <w:tcW w:w="4699" w:type="pct"/>
            <w:hideMark/>
          </w:tcPr>
          <w:p w14:paraId="6F8C75B5" w14:textId="0B0F80E1" w:rsidR="00CA2C4B" w:rsidRDefault="00CA2C4B">
            <w:pPr>
              <w:pStyle w:val="Bibliography"/>
              <w:rPr>
                <w:noProof/>
              </w:rPr>
            </w:pPr>
            <w:r>
              <w:rPr>
                <w:noProof/>
              </w:rPr>
              <w:t>FDA, "Patient Preference Information – Voluntary Submission, Review in Premarket Approval Applications, Humanitarian Device Exemption Applications, and De Novo Requests, and Inclusion in Decision Summaries and Device Labeling Guidance for Industry, Food and Dru," [Online]. Available: https://www.fda.gov/media/92593/download. [Accessed 1 December 2022].</w:t>
            </w:r>
          </w:p>
        </w:tc>
      </w:tr>
      <w:tr w:rsidR="00CA2C4B" w14:paraId="65EC0EE7" w14:textId="77777777" w:rsidTr="00CA2C4B">
        <w:trPr>
          <w:divId w:val="513492335"/>
          <w:tblCellSpacing w:w="15" w:type="dxa"/>
        </w:trPr>
        <w:tc>
          <w:tcPr>
            <w:tcW w:w="215" w:type="pct"/>
            <w:hideMark/>
          </w:tcPr>
          <w:p w14:paraId="7C4D53AF" w14:textId="77777777" w:rsidR="00CA2C4B" w:rsidRDefault="00CA2C4B">
            <w:pPr>
              <w:pStyle w:val="Bibliography"/>
              <w:rPr>
                <w:noProof/>
              </w:rPr>
            </w:pPr>
            <w:r>
              <w:rPr>
                <w:noProof/>
              </w:rPr>
              <w:t xml:space="preserve">[33] </w:t>
            </w:r>
          </w:p>
        </w:tc>
        <w:tc>
          <w:tcPr>
            <w:tcW w:w="20" w:type="pct"/>
          </w:tcPr>
          <w:p w14:paraId="4D2344B5" w14:textId="77777777" w:rsidR="00CA2C4B" w:rsidRDefault="00CA2C4B">
            <w:pPr>
              <w:pStyle w:val="Bibliography"/>
              <w:rPr>
                <w:noProof/>
              </w:rPr>
            </w:pPr>
          </w:p>
        </w:tc>
        <w:tc>
          <w:tcPr>
            <w:tcW w:w="4699" w:type="pct"/>
            <w:hideMark/>
          </w:tcPr>
          <w:p w14:paraId="3D905A7C" w14:textId="7E34DD85" w:rsidR="00CA2C4B" w:rsidRDefault="00CA2C4B">
            <w:pPr>
              <w:pStyle w:val="Bibliography"/>
              <w:rPr>
                <w:noProof/>
              </w:rPr>
            </w:pPr>
            <w:r>
              <w:rPr>
                <w:noProof/>
              </w:rPr>
              <w:t>IM PREFER, "Recommendations on Why, when and how to assess and use patient preferences in medical product decision-making," [Online]. Available: https://www.imi-prefer.eu/recommendations/. [Accessed 1 December 2022].</w:t>
            </w:r>
          </w:p>
        </w:tc>
      </w:tr>
      <w:tr w:rsidR="00CA2C4B" w14:paraId="7509075E" w14:textId="77777777" w:rsidTr="00CA2C4B">
        <w:trPr>
          <w:divId w:val="513492335"/>
          <w:tblCellSpacing w:w="15" w:type="dxa"/>
        </w:trPr>
        <w:tc>
          <w:tcPr>
            <w:tcW w:w="215" w:type="pct"/>
            <w:hideMark/>
          </w:tcPr>
          <w:p w14:paraId="2C04952D" w14:textId="77777777" w:rsidR="00CA2C4B" w:rsidRDefault="00CA2C4B">
            <w:pPr>
              <w:pStyle w:val="Bibliography"/>
              <w:rPr>
                <w:noProof/>
              </w:rPr>
            </w:pPr>
            <w:r>
              <w:rPr>
                <w:noProof/>
              </w:rPr>
              <w:t xml:space="preserve">[34] </w:t>
            </w:r>
          </w:p>
        </w:tc>
        <w:tc>
          <w:tcPr>
            <w:tcW w:w="20" w:type="pct"/>
          </w:tcPr>
          <w:p w14:paraId="3C1F01ED" w14:textId="77777777" w:rsidR="00CA2C4B" w:rsidRDefault="00CA2C4B">
            <w:pPr>
              <w:pStyle w:val="Bibliography"/>
              <w:rPr>
                <w:noProof/>
              </w:rPr>
            </w:pPr>
          </w:p>
        </w:tc>
        <w:tc>
          <w:tcPr>
            <w:tcW w:w="4699" w:type="pct"/>
            <w:hideMark/>
          </w:tcPr>
          <w:p w14:paraId="46DBB058" w14:textId="5D0FA44D" w:rsidR="00CA2C4B" w:rsidRDefault="00CA2C4B">
            <w:pPr>
              <w:pStyle w:val="Bibliography"/>
              <w:rPr>
                <w:noProof/>
              </w:rPr>
            </w:pPr>
            <w:r>
              <w:rPr>
                <w:noProof/>
              </w:rPr>
              <w:t xml:space="preserve">Weber E et al., "A Domain-specific Risk- attitude Scale: Measuring Risk Perceptions and Risk Behaviors," </w:t>
            </w:r>
            <w:r>
              <w:rPr>
                <w:i/>
                <w:iCs/>
                <w:noProof/>
              </w:rPr>
              <w:t xml:space="preserve">Journal of Behavioral Decision Making,, </w:t>
            </w:r>
            <w:r>
              <w:rPr>
                <w:noProof/>
              </w:rPr>
              <w:t xml:space="preserve">vol. 15, p. 263–290, 2002. </w:t>
            </w:r>
          </w:p>
        </w:tc>
      </w:tr>
      <w:tr w:rsidR="00CA2C4B" w14:paraId="1118694B" w14:textId="77777777" w:rsidTr="00CA2C4B">
        <w:trPr>
          <w:divId w:val="513492335"/>
          <w:tblCellSpacing w:w="15" w:type="dxa"/>
        </w:trPr>
        <w:tc>
          <w:tcPr>
            <w:tcW w:w="215" w:type="pct"/>
            <w:hideMark/>
          </w:tcPr>
          <w:p w14:paraId="766C9476" w14:textId="77777777" w:rsidR="00CA2C4B" w:rsidRDefault="00CA2C4B">
            <w:pPr>
              <w:pStyle w:val="Bibliography"/>
              <w:rPr>
                <w:noProof/>
              </w:rPr>
            </w:pPr>
            <w:r>
              <w:rPr>
                <w:noProof/>
              </w:rPr>
              <w:t xml:space="preserve">[35] </w:t>
            </w:r>
          </w:p>
        </w:tc>
        <w:tc>
          <w:tcPr>
            <w:tcW w:w="20" w:type="pct"/>
          </w:tcPr>
          <w:p w14:paraId="026B866E" w14:textId="77777777" w:rsidR="00CA2C4B" w:rsidRDefault="00CA2C4B">
            <w:pPr>
              <w:pStyle w:val="Bibliography"/>
              <w:rPr>
                <w:noProof/>
              </w:rPr>
            </w:pPr>
          </w:p>
        </w:tc>
        <w:tc>
          <w:tcPr>
            <w:tcW w:w="4699" w:type="pct"/>
            <w:hideMark/>
          </w:tcPr>
          <w:p w14:paraId="3E8861B0" w14:textId="0C99C6C7" w:rsidR="00CA2C4B" w:rsidRDefault="00CA2C4B">
            <w:pPr>
              <w:pStyle w:val="Bibliography"/>
              <w:rPr>
                <w:noProof/>
              </w:rPr>
            </w:pPr>
            <w:r>
              <w:rPr>
                <w:noProof/>
              </w:rPr>
              <w:t>FDA, "Guidance for Industry - Good Pharmacovigilance Practices and Pharmacoepidemiologic Assessment. U.S. Department of Health and Human Services Food and Drug Administration Center for Drug Evaluation and Research (CDER) Center for Biologics Evaluation and Re," 2018. [Online]. Available: https://www.fda.gov/regulatory-information/search-fda-guidance-documents/good-pharmacovigilance-practices-and-pharmacoepidemiologic-assessment. [Accessed 6 December 2022].</w:t>
            </w:r>
          </w:p>
        </w:tc>
      </w:tr>
      <w:tr w:rsidR="00CA2C4B" w14:paraId="30CFA111" w14:textId="77777777" w:rsidTr="00CA2C4B">
        <w:trPr>
          <w:divId w:val="513492335"/>
          <w:tblCellSpacing w:w="15" w:type="dxa"/>
        </w:trPr>
        <w:tc>
          <w:tcPr>
            <w:tcW w:w="215" w:type="pct"/>
            <w:hideMark/>
          </w:tcPr>
          <w:p w14:paraId="708C193E" w14:textId="77777777" w:rsidR="00CA2C4B" w:rsidRDefault="00CA2C4B">
            <w:pPr>
              <w:pStyle w:val="Bibliography"/>
              <w:rPr>
                <w:noProof/>
              </w:rPr>
            </w:pPr>
            <w:r>
              <w:rPr>
                <w:noProof/>
              </w:rPr>
              <w:t xml:space="preserve">[36] </w:t>
            </w:r>
          </w:p>
        </w:tc>
        <w:tc>
          <w:tcPr>
            <w:tcW w:w="20" w:type="pct"/>
          </w:tcPr>
          <w:p w14:paraId="0C22E255" w14:textId="77777777" w:rsidR="00CA2C4B" w:rsidRDefault="00CA2C4B">
            <w:pPr>
              <w:pStyle w:val="Bibliography"/>
              <w:rPr>
                <w:noProof/>
              </w:rPr>
            </w:pPr>
          </w:p>
        </w:tc>
        <w:tc>
          <w:tcPr>
            <w:tcW w:w="4699" w:type="pct"/>
            <w:hideMark/>
          </w:tcPr>
          <w:p w14:paraId="49B145CD" w14:textId="7210DE09" w:rsidR="00CA2C4B" w:rsidRDefault="00CA2C4B">
            <w:pPr>
              <w:pStyle w:val="Bibliography"/>
              <w:rPr>
                <w:noProof/>
              </w:rPr>
            </w:pPr>
            <w:r>
              <w:rPr>
                <w:noProof/>
              </w:rPr>
              <w:t xml:space="preserve">Bollaerts K et al., "ADVANCE system testing: Benefit-risk analysis of a marketed vaccine using multi-criteria decision analysis and individual-level state transition modelling," </w:t>
            </w:r>
            <w:r>
              <w:rPr>
                <w:i/>
                <w:iCs/>
                <w:noProof/>
              </w:rPr>
              <w:t xml:space="preserve">Vaccine, </w:t>
            </w:r>
            <w:r>
              <w:rPr>
                <w:noProof/>
              </w:rPr>
              <w:t xml:space="preserve">vol. 38, 2020. </w:t>
            </w:r>
          </w:p>
        </w:tc>
      </w:tr>
    </w:tbl>
    <w:p w14:paraId="2862C99E" w14:textId="77777777" w:rsidR="009A4A6E" w:rsidRDefault="009A4A6E">
      <w:pPr>
        <w:divId w:val="513492335"/>
        <w:rPr>
          <w:rFonts w:eastAsia="Times New Roman"/>
          <w:noProof/>
        </w:rPr>
      </w:pPr>
    </w:p>
    <w:p w14:paraId="6DC54ADD" w14:textId="2D5AF97E" w:rsidR="00025D82" w:rsidRPr="00783F18" w:rsidRDefault="00025D82" w:rsidP="00025D82">
      <w:pPr>
        <w:pBdr>
          <w:top w:val="nil"/>
          <w:left w:val="nil"/>
          <w:bottom w:val="nil"/>
          <w:right w:val="nil"/>
          <w:between w:val="nil"/>
        </w:pBdr>
        <w:spacing w:after="0" w:line="360" w:lineRule="auto"/>
        <w:jc w:val="both"/>
        <w:rPr>
          <w:rFonts w:ascii="Times New Roman" w:hAnsi="Times New Roman" w:cs="Times New Roman"/>
          <w:sz w:val="24"/>
          <w:szCs w:val="24"/>
        </w:rPr>
      </w:pPr>
      <w:r w:rsidRPr="00783F18">
        <w:rPr>
          <w:rFonts w:ascii="Times New Roman" w:hAnsi="Times New Roman" w:cs="Times New Roman"/>
          <w:sz w:val="24"/>
          <w:szCs w:val="24"/>
        </w:rPr>
        <w:fldChar w:fldCharType="end"/>
      </w:r>
    </w:p>
    <w:p w14:paraId="59C79A3F" w14:textId="5DEECEB0" w:rsidR="00C54B9E" w:rsidRPr="00783F18" w:rsidRDefault="00C54B9E" w:rsidP="009A4A6E">
      <w:pPr>
        <w:spacing w:after="0" w:line="240" w:lineRule="auto"/>
        <w:rPr>
          <w:rFonts w:ascii="Times New Roman" w:eastAsia="Times New Roman" w:hAnsi="Times New Roman" w:cs="Times New Roman"/>
          <w:b/>
          <w:color w:val="000000"/>
          <w:sz w:val="24"/>
          <w:szCs w:val="24"/>
        </w:rPr>
      </w:pPr>
    </w:p>
    <w:sectPr w:rsidR="00C54B9E" w:rsidRPr="00783F18">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onali Kochhar" w:date="2022-12-21T16:46:00Z" w:initials="SK">
    <w:p w14:paraId="29987D23" w14:textId="6136DE2D" w:rsidR="007E1105" w:rsidRDefault="007E1105">
      <w:pPr>
        <w:pStyle w:val="CommentText"/>
      </w:pPr>
      <w:r>
        <w:rPr>
          <w:rStyle w:val="CommentReference"/>
        </w:rPr>
        <w:annotationRef/>
      </w:r>
      <w:r>
        <w:t xml:space="preserve">The link will be added </w:t>
      </w:r>
    </w:p>
  </w:comment>
  <w:comment w:id="1" w:author="Sonali Kochhar" w:date="2022-12-21T16:46:00Z" w:initials="SK">
    <w:p w14:paraId="58808B4C" w14:textId="7937E482" w:rsidR="007E1105" w:rsidRDefault="007E1105">
      <w:pPr>
        <w:pStyle w:val="CommentText"/>
      </w:pPr>
      <w:r>
        <w:rPr>
          <w:rStyle w:val="CommentReference"/>
        </w:rPr>
        <w:annotationRef/>
      </w:r>
      <w:r>
        <w:rPr>
          <w:rStyle w:val="CommentReference"/>
        </w:rPr>
        <w:t xml:space="preserve">The link will be added </w:t>
      </w:r>
    </w:p>
  </w:comment>
  <w:comment w:id="3" w:author="Sonali Kochhar" w:date="2023-03-27T23:42:00Z" w:initials="SK">
    <w:p w14:paraId="260F1528" w14:textId="6C8AAD37" w:rsidR="00FB7FD0" w:rsidRDefault="00FB7FD0">
      <w:pPr>
        <w:pStyle w:val="CommentText"/>
      </w:pPr>
      <w:r>
        <w:rPr>
          <w:rStyle w:val="CommentReference"/>
        </w:rPr>
        <w:annotationRef/>
      </w:r>
      <w:r>
        <w:t xml:space="preserve">The link will be added </w:t>
      </w:r>
    </w:p>
  </w:comment>
  <w:comment w:id="9" w:author="Sonali Kochhar" w:date="2023-01-17T20:08:00Z" w:initials="SK">
    <w:p w14:paraId="757B8C09" w14:textId="77777777" w:rsidR="005A56E1" w:rsidRDefault="007E1105" w:rsidP="00ED3A2B">
      <w:pPr>
        <w:pStyle w:val="CommentText"/>
      </w:pPr>
      <w:r>
        <w:rPr>
          <w:rStyle w:val="CommentReference"/>
        </w:rPr>
        <w:annotationRef/>
      </w:r>
      <w:r w:rsidR="005A56E1">
        <w:t xml:space="preserve">References will be updated to the Vaccine format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987D23" w15:done="0"/>
  <w15:commentEx w15:paraId="58808B4C" w15:done="0"/>
  <w15:commentEx w15:paraId="260F1528" w15:done="0"/>
  <w15:commentEx w15:paraId="757B8C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DB6FA" w16cex:dateUtc="2022-12-21T11:16:00Z"/>
  <w16cex:commentExtensible w16cex:durableId="274DB6E6" w16cex:dateUtc="2022-12-21T11:16:00Z"/>
  <w16cex:commentExtensible w16cex:durableId="27CCA85E" w16cex:dateUtc="2023-03-27T18:12:00Z"/>
  <w16cex:commentExtensible w16cex:durableId="27717ED3" w16cex:dateUtc="2023-01-17T1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987D23" w16cid:durableId="274DB6FA"/>
  <w16cid:commentId w16cid:paraId="58808B4C" w16cid:durableId="274DB6E6"/>
  <w16cid:commentId w16cid:paraId="260F1528" w16cid:durableId="27CCA85E"/>
  <w16cid:commentId w16cid:paraId="757B8C09" w16cid:durableId="27717E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3EB12" w14:textId="77777777" w:rsidR="005E7C5F" w:rsidRDefault="005E7C5F">
      <w:pPr>
        <w:spacing w:after="0" w:line="240" w:lineRule="auto"/>
      </w:pPr>
      <w:r>
        <w:separator/>
      </w:r>
    </w:p>
  </w:endnote>
  <w:endnote w:type="continuationSeparator" w:id="0">
    <w:p w14:paraId="7269FE4E" w14:textId="77777777" w:rsidR="005E7C5F" w:rsidRDefault="005E7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368145"/>
      <w:docPartObj>
        <w:docPartGallery w:val="Page Numbers (Bottom of Page)"/>
        <w:docPartUnique/>
      </w:docPartObj>
    </w:sdtPr>
    <w:sdtEndPr>
      <w:rPr>
        <w:noProof/>
      </w:rPr>
    </w:sdtEndPr>
    <w:sdtContent>
      <w:p w14:paraId="0912D4DD" w14:textId="0E89FA2C" w:rsidR="007E1105" w:rsidRDefault="007E1105">
        <w:pPr>
          <w:pStyle w:val="Footer"/>
        </w:pPr>
        <w:r>
          <w:fldChar w:fldCharType="begin"/>
        </w:r>
        <w:r>
          <w:instrText xml:space="preserve"> PAGE   \* MERGEFORMAT </w:instrText>
        </w:r>
        <w:r>
          <w:fldChar w:fldCharType="separate"/>
        </w:r>
        <w:r>
          <w:rPr>
            <w:noProof/>
          </w:rPr>
          <w:t>2</w:t>
        </w:r>
        <w:r>
          <w:rPr>
            <w:noProof/>
          </w:rPr>
          <w:fldChar w:fldCharType="end"/>
        </w:r>
      </w:p>
    </w:sdtContent>
  </w:sdt>
  <w:p w14:paraId="206C761E" w14:textId="77777777" w:rsidR="007E1105" w:rsidRDefault="007E1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1D516" w14:textId="77777777" w:rsidR="005E7C5F" w:rsidRDefault="005E7C5F">
      <w:pPr>
        <w:spacing w:after="0" w:line="240" w:lineRule="auto"/>
      </w:pPr>
      <w:r>
        <w:separator/>
      </w:r>
    </w:p>
  </w:footnote>
  <w:footnote w:type="continuationSeparator" w:id="0">
    <w:p w14:paraId="6E7DFC1F" w14:textId="77777777" w:rsidR="005E7C5F" w:rsidRDefault="005E7C5F">
      <w:pPr>
        <w:spacing w:after="0" w:line="240" w:lineRule="auto"/>
      </w:pPr>
      <w:r>
        <w:continuationSeparator/>
      </w:r>
    </w:p>
  </w:footnote>
  <w:footnote w:id="1">
    <w:p w14:paraId="2248F1A5" w14:textId="77777777" w:rsidR="007E1105" w:rsidRDefault="007E1105" w:rsidP="00783F18">
      <w:pPr>
        <w:pBdr>
          <w:top w:val="nil"/>
          <w:left w:val="nil"/>
          <w:bottom w:val="nil"/>
          <w:right w:val="nil"/>
          <w:between w:val="nil"/>
        </w:pBdr>
        <w:rPr>
          <w:sz w:val="20"/>
          <w:szCs w:val="20"/>
        </w:rPr>
      </w:pPr>
      <w:r>
        <w:rPr>
          <w:rStyle w:val="FootnoteReference"/>
        </w:rPr>
        <w:footnoteRef/>
      </w:r>
      <w:r>
        <w:rPr>
          <w:sz w:val="20"/>
          <w:szCs w:val="20"/>
        </w:rPr>
        <w:t xml:space="preserve">  A completed module may have blanks for unknown or missing data.</w:t>
      </w:r>
    </w:p>
  </w:footnote>
  <w:footnote w:id="2">
    <w:p w14:paraId="636AFDC9" w14:textId="77777777" w:rsidR="007E1105" w:rsidRDefault="007E1105" w:rsidP="00783F18">
      <w:pPr>
        <w:pBdr>
          <w:top w:val="nil"/>
          <w:left w:val="nil"/>
          <w:bottom w:val="nil"/>
          <w:right w:val="nil"/>
          <w:between w:val="nil"/>
        </w:pBdr>
        <w:rPr>
          <w:sz w:val="20"/>
          <w:szCs w:val="20"/>
        </w:rPr>
      </w:pPr>
      <w:r>
        <w:rPr>
          <w:rStyle w:val="FootnoteReference"/>
        </w:rPr>
        <w:footnoteRef/>
      </w:r>
      <w:r>
        <w:rPr>
          <w:sz w:val="20"/>
          <w:szCs w:val="20"/>
        </w:rPr>
        <w:t xml:space="preserve"> Note: Scenarios are an advanced topic that will not be used by most users.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BD5"/>
    <w:multiLevelType w:val="multilevel"/>
    <w:tmpl w:val="18967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DE6A68"/>
    <w:multiLevelType w:val="multilevel"/>
    <w:tmpl w:val="BF407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6F2DA2"/>
    <w:multiLevelType w:val="multilevel"/>
    <w:tmpl w:val="DCB49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441DC4"/>
    <w:multiLevelType w:val="multilevel"/>
    <w:tmpl w:val="29E0B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3D4CFF"/>
    <w:multiLevelType w:val="multilevel"/>
    <w:tmpl w:val="2E3E8D6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2DB364C8"/>
    <w:multiLevelType w:val="multilevel"/>
    <w:tmpl w:val="49CA4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831E99"/>
    <w:multiLevelType w:val="multilevel"/>
    <w:tmpl w:val="0BD41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742882"/>
    <w:multiLevelType w:val="multilevel"/>
    <w:tmpl w:val="61E29B38"/>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DE0EE8"/>
    <w:multiLevelType w:val="multilevel"/>
    <w:tmpl w:val="12E2D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5027982"/>
    <w:multiLevelType w:val="multilevel"/>
    <w:tmpl w:val="85B84F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7120556"/>
    <w:multiLevelType w:val="multilevel"/>
    <w:tmpl w:val="EA683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0B7199F"/>
    <w:multiLevelType w:val="multilevel"/>
    <w:tmpl w:val="5BEE3E74"/>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35834ED"/>
    <w:multiLevelType w:val="multilevel"/>
    <w:tmpl w:val="709A3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6001877">
    <w:abstractNumId w:val="1"/>
  </w:num>
  <w:num w:numId="2" w16cid:durableId="1664965035">
    <w:abstractNumId w:val="10"/>
  </w:num>
  <w:num w:numId="3" w16cid:durableId="504445405">
    <w:abstractNumId w:val="7"/>
  </w:num>
  <w:num w:numId="4" w16cid:durableId="1801144111">
    <w:abstractNumId w:val="11"/>
  </w:num>
  <w:num w:numId="5" w16cid:durableId="521824808">
    <w:abstractNumId w:val="12"/>
  </w:num>
  <w:num w:numId="6" w16cid:durableId="1123763795">
    <w:abstractNumId w:val="4"/>
  </w:num>
  <w:num w:numId="7" w16cid:durableId="415708298">
    <w:abstractNumId w:val="5"/>
  </w:num>
  <w:num w:numId="8" w16cid:durableId="1196041564">
    <w:abstractNumId w:val="2"/>
  </w:num>
  <w:num w:numId="9" w16cid:durableId="767383725">
    <w:abstractNumId w:val="9"/>
  </w:num>
  <w:num w:numId="10" w16cid:durableId="1273976415">
    <w:abstractNumId w:val="3"/>
  </w:num>
  <w:num w:numId="11" w16cid:durableId="1895000171">
    <w:abstractNumId w:val="6"/>
  </w:num>
  <w:num w:numId="12" w16cid:durableId="469176715">
    <w:abstractNumId w:val="8"/>
  </w:num>
  <w:num w:numId="13" w16cid:durableId="109990566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nali Kochhar">
    <w15:presenceInfo w15:providerId="None" w15:userId="Sonali Kochh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A61"/>
    <w:rsid w:val="000051AF"/>
    <w:rsid w:val="00013D2B"/>
    <w:rsid w:val="00017C61"/>
    <w:rsid w:val="00020D35"/>
    <w:rsid w:val="00024147"/>
    <w:rsid w:val="00024EF8"/>
    <w:rsid w:val="00025D82"/>
    <w:rsid w:val="0003604C"/>
    <w:rsid w:val="000363C7"/>
    <w:rsid w:val="0003707B"/>
    <w:rsid w:val="00037D3B"/>
    <w:rsid w:val="000426D6"/>
    <w:rsid w:val="0004732B"/>
    <w:rsid w:val="00053AF7"/>
    <w:rsid w:val="00054343"/>
    <w:rsid w:val="000547BA"/>
    <w:rsid w:val="00054EC6"/>
    <w:rsid w:val="00072334"/>
    <w:rsid w:val="000802C8"/>
    <w:rsid w:val="00084F9B"/>
    <w:rsid w:val="00090382"/>
    <w:rsid w:val="000911D2"/>
    <w:rsid w:val="00095401"/>
    <w:rsid w:val="000B2DA2"/>
    <w:rsid w:val="000B4F3C"/>
    <w:rsid w:val="000C6182"/>
    <w:rsid w:val="000D295F"/>
    <w:rsid w:val="000D3A16"/>
    <w:rsid w:val="000D47BE"/>
    <w:rsid w:val="000F6828"/>
    <w:rsid w:val="00114FE6"/>
    <w:rsid w:val="001150F2"/>
    <w:rsid w:val="001210CC"/>
    <w:rsid w:val="0012585D"/>
    <w:rsid w:val="0013044A"/>
    <w:rsid w:val="001367B0"/>
    <w:rsid w:val="00157BDF"/>
    <w:rsid w:val="00163E8C"/>
    <w:rsid w:val="00167667"/>
    <w:rsid w:val="00174D41"/>
    <w:rsid w:val="00177A30"/>
    <w:rsid w:val="00183242"/>
    <w:rsid w:val="00183E6D"/>
    <w:rsid w:val="00186DBC"/>
    <w:rsid w:val="001A5704"/>
    <w:rsid w:val="001C5FC0"/>
    <w:rsid w:val="001D133B"/>
    <w:rsid w:val="001E1141"/>
    <w:rsid w:val="001E2F1F"/>
    <w:rsid w:val="001F779F"/>
    <w:rsid w:val="00243E3C"/>
    <w:rsid w:val="0024591A"/>
    <w:rsid w:val="00267A78"/>
    <w:rsid w:val="002831F8"/>
    <w:rsid w:val="002A0E6C"/>
    <w:rsid w:val="002A37D0"/>
    <w:rsid w:val="002A744D"/>
    <w:rsid w:val="002B47AC"/>
    <w:rsid w:val="002B5832"/>
    <w:rsid w:val="002B7CAA"/>
    <w:rsid w:val="002C1987"/>
    <w:rsid w:val="002C3CD0"/>
    <w:rsid w:val="002C67BB"/>
    <w:rsid w:val="002D22CC"/>
    <w:rsid w:val="002D5A8F"/>
    <w:rsid w:val="002D6AB9"/>
    <w:rsid w:val="002E39E7"/>
    <w:rsid w:val="002E79EE"/>
    <w:rsid w:val="002F3C94"/>
    <w:rsid w:val="002F71CE"/>
    <w:rsid w:val="00311FE4"/>
    <w:rsid w:val="00312385"/>
    <w:rsid w:val="00313653"/>
    <w:rsid w:val="00317AC0"/>
    <w:rsid w:val="00320C79"/>
    <w:rsid w:val="00333835"/>
    <w:rsid w:val="003427F7"/>
    <w:rsid w:val="00362430"/>
    <w:rsid w:val="00367603"/>
    <w:rsid w:val="003737AC"/>
    <w:rsid w:val="00375008"/>
    <w:rsid w:val="0038009E"/>
    <w:rsid w:val="0039033F"/>
    <w:rsid w:val="003934A2"/>
    <w:rsid w:val="003A1199"/>
    <w:rsid w:val="003A164E"/>
    <w:rsid w:val="003A5A7B"/>
    <w:rsid w:val="003A6A28"/>
    <w:rsid w:val="003B1AB9"/>
    <w:rsid w:val="003C3B5B"/>
    <w:rsid w:val="003C3B70"/>
    <w:rsid w:val="003C3BD4"/>
    <w:rsid w:val="003C3BF5"/>
    <w:rsid w:val="003E4408"/>
    <w:rsid w:val="003E444A"/>
    <w:rsid w:val="003F0C8C"/>
    <w:rsid w:val="003F3E22"/>
    <w:rsid w:val="004070A7"/>
    <w:rsid w:val="004105B7"/>
    <w:rsid w:val="00410B41"/>
    <w:rsid w:val="00441BE6"/>
    <w:rsid w:val="004441E0"/>
    <w:rsid w:val="00456F30"/>
    <w:rsid w:val="0046015F"/>
    <w:rsid w:val="004729CE"/>
    <w:rsid w:val="00483197"/>
    <w:rsid w:val="004A075E"/>
    <w:rsid w:val="004A3AE4"/>
    <w:rsid w:val="004B12CC"/>
    <w:rsid w:val="004B2CD4"/>
    <w:rsid w:val="004C1A13"/>
    <w:rsid w:val="004C1FE0"/>
    <w:rsid w:val="004C2BD7"/>
    <w:rsid w:val="004C7332"/>
    <w:rsid w:val="004D748A"/>
    <w:rsid w:val="004E6E4E"/>
    <w:rsid w:val="004F0824"/>
    <w:rsid w:val="004F5BC3"/>
    <w:rsid w:val="004F629D"/>
    <w:rsid w:val="00506450"/>
    <w:rsid w:val="00522A9A"/>
    <w:rsid w:val="005272F8"/>
    <w:rsid w:val="00541407"/>
    <w:rsid w:val="0054438B"/>
    <w:rsid w:val="005465E1"/>
    <w:rsid w:val="005467E4"/>
    <w:rsid w:val="00550946"/>
    <w:rsid w:val="00556229"/>
    <w:rsid w:val="005A56E1"/>
    <w:rsid w:val="005A7F99"/>
    <w:rsid w:val="005C3FF1"/>
    <w:rsid w:val="005C6CD5"/>
    <w:rsid w:val="005D17E3"/>
    <w:rsid w:val="005D54CB"/>
    <w:rsid w:val="005E0FC6"/>
    <w:rsid w:val="005E322A"/>
    <w:rsid w:val="005E4577"/>
    <w:rsid w:val="005E55E5"/>
    <w:rsid w:val="005E7C5F"/>
    <w:rsid w:val="00600BF7"/>
    <w:rsid w:val="00604E75"/>
    <w:rsid w:val="00612694"/>
    <w:rsid w:val="00614640"/>
    <w:rsid w:val="00617BB6"/>
    <w:rsid w:val="00623A38"/>
    <w:rsid w:val="00631C21"/>
    <w:rsid w:val="006342B4"/>
    <w:rsid w:val="00643210"/>
    <w:rsid w:val="0064351B"/>
    <w:rsid w:val="00647793"/>
    <w:rsid w:val="006667FF"/>
    <w:rsid w:val="00666D1D"/>
    <w:rsid w:val="00671F0F"/>
    <w:rsid w:val="006768EB"/>
    <w:rsid w:val="00686035"/>
    <w:rsid w:val="006A19F5"/>
    <w:rsid w:val="006A5207"/>
    <w:rsid w:val="006C15D1"/>
    <w:rsid w:val="006C1BAE"/>
    <w:rsid w:val="006C1F9F"/>
    <w:rsid w:val="006C50FB"/>
    <w:rsid w:val="006D741A"/>
    <w:rsid w:val="006E4204"/>
    <w:rsid w:val="006E614B"/>
    <w:rsid w:val="006E7178"/>
    <w:rsid w:val="00737ECB"/>
    <w:rsid w:val="00740867"/>
    <w:rsid w:val="0074597C"/>
    <w:rsid w:val="007463F4"/>
    <w:rsid w:val="00751963"/>
    <w:rsid w:val="00753CBA"/>
    <w:rsid w:val="007557FD"/>
    <w:rsid w:val="00760905"/>
    <w:rsid w:val="0076605E"/>
    <w:rsid w:val="0077645A"/>
    <w:rsid w:val="0078195F"/>
    <w:rsid w:val="00783F18"/>
    <w:rsid w:val="0079143A"/>
    <w:rsid w:val="0079233E"/>
    <w:rsid w:val="007927E1"/>
    <w:rsid w:val="00792E0F"/>
    <w:rsid w:val="007A1E8F"/>
    <w:rsid w:val="007A22A0"/>
    <w:rsid w:val="007A4B7F"/>
    <w:rsid w:val="007A58C7"/>
    <w:rsid w:val="007A68F1"/>
    <w:rsid w:val="007B3E9C"/>
    <w:rsid w:val="007C2D4B"/>
    <w:rsid w:val="007C38D8"/>
    <w:rsid w:val="007D31D9"/>
    <w:rsid w:val="007D386B"/>
    <w:rsid w:val="007D43A3"/>
    <w:rsid w:val="007E1105"/>
    <w:rsid w:val="007F40B5"/>
    <w:rsid w:val="007F6DE6"/>
    <w:rsid w:val="008001AE"/>
    <w:rsid w:val="0080572E"/>
    <w:rsid w:val="0081238F"/>
    <w:rsid w:val="00815851"/>
    <w:rsid w:val="0082074D"/>
    <w:rsid w:val="00826336"/>
    <w:rsid w:val="008336EC"/>
    <w:rsid w:val="008368CB"/>
    <w:rsid w:val="00841F4D"/>
    <w:rsid w:val="00844BEC"/>
    <w:rsid w:val="00846D51"/>
    <w:rsid w:val="00851165"/>
    <w:rsid w:val="00854460"/>
    <w:rsid w:val="008547C3"/>
    <w:rsid w:val="0086570E"/>
    <w:rsid w:val="00875294"/>
    <w:rsid w:val="008A44CA"/>
    <w:rsid w:val="008D3A74"/>
    <w:rsid w:val="008D4BD0"/>
    <w:rsid w:val="008E01EF"/>
    <w:rsid w:val="008F4819"/>
    <w:rsid w:val="00907EE2"/>
    <w:rsid w:val="009128AB"/>
    <w:rsid w:val="0093462A"/>
    <w:rsid w:val="009375A3"/>
    <w:rsid w:val="00943A61"/>
    <w:rsid w:val="00944CA2"/>
    <w:rsid w:val="0095078B"/>
    <w:rsid w:val="009670A8"/>
    <w:rsid w:val="00975EA3"/>
    <w:rsid w:val="00984249"/>
    <w:rsid w:val="00993174"/>
    <w:rsid w:val="009963CE"/>
    <w:rsid w:val="009A4348"/>
    <w:rsid w:val="009A4A6E"/>
    <w:rsid w:val="009B047F"/>
    <w:rsid w:val="009B44AA"/>
    <w:rsid w:val="009B61FE"/>
    <w:rsid w:val="009B7A9F"/>
    <w:rsid w:val="009D195B"/>
    <w:rsid w:val="009D7273"/>
    <w:rsid w:val="009E1BB0"/>
    <w:rsid w:val="009F11F6"/>
    <w:rsid w:val="009F7AEB"/>
    <w:rsid w:val="00A01936"/>
    <w:rsid w:val="00A02022"/>
    <w:rsid w:val="00A02373"/>
    <w:rsid w:val="00A12A38"/>
    <w:rsid w:val="00A306D9"/>
    <w:rsid w:val="00A367DC"/>
    <w:rsid w:val="00A42D1B"/>
    <w:rsid w:val="00A577D1"/>
    <w:rsid w:val="00A72D5F"/>
    <w:rsid w:val="00A8111C"/>
    <w:rsid w:val="00A82E32"/>
    <w:rsid w:val="00A936A1"/>
    <w:rsid w:val="00A95B9D"/>
    <w:rsid w:val="00A9702C"/>
    <w:rsid w:val="00A973C1"/>
    <w:rsid w:val="00AB5A04"/>
    <w:rsid w:val="00AB6974"/>
    <w:rsid w:val="00AC4B79"/>
    <w:rsid w:val="00AC4BA7"/>
    <w:rsid w:val="00AE3691"/>
    <w:rsid w:val="00AE5CBC"/>
    <w:rsid w:val="00AF4769"/>
    <w:rsid w:val="00B0694E"/>
    <w:rsid w:val="00B1098A"/>
    <w:rsid w:val="00B21153"/>
    <w:rsid w:val="00B26E28"/>
    <w:rsid w:val="00B358DF"/>
    <w:rsid w:val="00B41219"/>
    <w:rsid w:val="00B476BF"/>
    <w:rsid w:val="00B5386A"/>
    <w:rsid w:val="00B571BF"/>
    <w:rsid w:val="00B706B2"/>
    <w:rsid w:val="00B7158E"/>
    <w:rsid w:val="00B81381"/>
    <w:rsid w:val="00B96B4A"/>
    <w:rsid w:val="00BA345B"/>
    <w:rsid w:val="00BB678F"/>
    <w:rsid w:val="00BC53EF"/>
    <w:rsid w:val="00BD45A6"/>
    <w:rsid w:val="00BE5BE4"/>
    <w:rsid w:val="00C00AF2"/>
    <w:rsid w:val="00C11D5E"/>
    <w:rsid w:val="00C1367B"/>
    <w:rsid w:val="00C1566D"/>
    <w:rsid w:val="00C1567F"/>
    <w:rsid w:val="00C24EE7"/>
    <w:rsid w:val="00C54B9E"/>
    <w:rsid w:val="00C5525C"/>
    <w:rsid w:val="00C603A4"/>
    <w:rsid w:val="00C80A7D"/>
    <w:rsid w:val="00C907EE"/>
    <w:rsid w:val="00C92A14"/>
    <w:rsid w:val="00CA0DC9"/>
    <w:rsid w:val="00CA144A"/>
    <w:rsid w:val="00CA2C4B"/>
    <w:rsid w:val="00CC0AD9"/>
    <w:rsid w:val="00CF1246"/>
    <w:rsid w:val="00D046C0"/>
    <w:rsid w:val="00D05AA5"/>
    <w:rsid w:val="00D07EC9"/>
    <w:rsid w:val="00D17021"/>
    <w:rsid w:val="00D407E9"/>
    <w:rsid w:val="00D60AED"/>
    <w:rsid w:val="00D63959"/>
    <w:rsid w:val="00D6785D"/>
    <w:rsid w:val="00D75D02"/>
    <w:rsid w:val="00D774F9"/>
    <w:rsid w:val="00D80FE4"/>
    <w:rsid w:val="00D90AA1"/>
    <w:rsid w:val="00DA5589"/>
    <w:rsid w:val="00DB71CE"/>
    <w:rsid w:val="00DC34DD"/>
    <w:rsid w:val="00DD191F"/>
    <w:rsid w:val="00DD7B92"/>
    <w:rsid w:val="00DE7336"/>
    <w:rsid w:val="00E0604F"/>
    <w:rsid w:val="00E112A1"/>
    <w:rsid w:val="00E20EA3"/>
    <w:rsid w:val="00E32B4E"/>
    <w:rsid w:val="00E36642"/>
    <w:rsid w:val="00E44E63"/>
    <w:rsid w:val="00E523C0"/>
    <w:rsid w:val="00E525E6"/>
    <w:rsid w:val="00E53131"/>
    <w:rsid w:val="00E549DA"/>
    <w:rsid w:val="00E65D5A"/>
    <w:rsid w:val="00E662BA"/>
    <w:rsid w:val="00E70301"/>
    <w:rsid w:val="00E807D7"/>
    <w:rsid w:val="00E82BF9"/>
    <w:rsid w:val="00E90BB9"/>
    <w:rsid w:val="00E91541"/>
    <w:rsid w:val="00E91D83"/>
    <w:rsid w:val="00E93281"/>
    <w:rsid w:val="00EA3C36"/>
    <w:rsid w:val="00EA6470"/>
    <w:rsid w:val="00EA6EA3"/>
    <w:rsid w:val="00EB3866"/>
    <w:rsid w:val="00EB3EC8"/>
    <w:rsid w:val="00EB589A"/>
    <w:rsid w:val="00EC1BED"/>
    <w:rsid w:val="00EC2704"/>
    <w:rsid w:val="00EC5255"/>
    <w:rsid w:val="00EC78F2"/>
    <w:rsid w:val="00EE78A5"/>
    <w:rsid w:val="00EF211A"/>
    <w:rsid w:val="00EF3049"/>
    <w:rsid w:val="00EF3110"/>
    <w:rsid w:val="00EF3682"/>
    <w:rsid w:val="00EF3D14"/>
    <w:rsid w:val="00EF6FDA"/>
    <w:rsid w:val="00F367ED"/>
    <w:rsid w:val="00F533EB"/>
    <w:rsid w:val="00F53669"/>
    <w:rsid w:val="00F6049B"/>
    <w:rsid w:val="00F635F0"/>
    <w:rsid w:val="00F71BBD"/>
    <w:rsid w:val="00F72E91"/>
    <w:rsid w:val="00F77A15"/>
    <w:rsid w:val="00F95548"/>
    <w:rsid w:val="00FA6C8A"/>
    <w:rsid w:val="00FB044E"/>
    <w:rsid w:val="00FB2DD4"/>
    <w:rsid w:val="00FB7FD0"/>
    <w:rsid w:val="00FC250A"/>
    <w:rsid w:val="00FC2BF4"/>
    <w:rsid w:val="00FD2412"/>
    <w:rsid w:val="00FE0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77D4E"/>
  <w15:docId w15:val="{5CB1EF18-16AD-40A6-ADBF-76F5C999B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E6C"/>
  </w:style>
  <w:style w:type="paragraph" w:styleId="Heading1">
    <w:name w:val="heading 1"/>
    <w:basedOn w:val="Normal"/>
    <w:next w:val="Normal"/>
    <w:link w:val="Heading1Char"/>
    <w:uiPriority w:val="9"/>
    <w:qFormat/>
    <w:rsid w:val="00E836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61687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616878"/>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61687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16878"/>
    <w:rPr>
      <w:color w:val="0000FF"/>
      <w:u w:val="single"/>
    </w:rPr>
  </w:style>
  <w:style w:type="character" w:styleId="Strong">
    <w:name w:val="Strong"/>
    <w:basedOn w:val="DefaultParagraphFont"/>
    <w:uiPriority w:val="22"/>
    <w:qFormat/>
    <w:rsid w:val="00616878"/>
    <w:rPr>
      <w:b/>
      <w:bCs/>
    </w:rPr>
  </w:style>
  <w:style w:type="character" w:styleId="Emphasis">
    <w:name w:val="Emphasis"/>
    <w:basedOn w:val="DefaultParagraphFont"/>
    <w:uiPriority w:val="20"/>
    <w:qFormat/>
    <w:rsid w:val="00616878"/>
    <w:rPr>
      <w:i/>
      <w:iCs/>
    </w:rPr>
  </w:style>
  <w:style w:type="paragraph" w:styleId="ListParagraph">
    <w:name w:val="List Paragraph"/>
    <w:basedOn w:val="Normal"/>
    <w:link w:val="ListParagraphChar"/>
    <w:uiPriority w:val="34"/>
    <w:qFormat/>
    <w:rsid w:val="00616878"/>
    <w:pPr>
      <w:ind w:left="720"/>
      <w:contextualSpacing/>
    </w:pPr>
  </w:style>
  <w:style w:type="character" w:styleId="CommentReference">
    <w:name w:val="annotation reference"/>
    <w:basedOn w:val="DefaultParagraphFont"/>
    <w:uiPriority w:val="99"/>
    <w:semiHidden/>
    <w:unhideWhenUsed/>
    <w:rsid w:val="009217A2"/>
    <w:rPr>
      <w:sz w:val="16"/>
      <w:szCs w:val="16"/>
    </w:rPr>
  </w:style>
  <w:style w:type="paragraph" w:styleId="CommentText">
    <w:name w:val="annotation text"/>
    <w:basedOn w:val="Normal"/>
    <w:link w:val="CommentTextChar"/>
    <w:uiPriority w:val="99"/>
    <w:unhideWhenUsed/>
    <w:rsid w:val="009217A2"/>
    <w:pPr>
      <w:spacing w:line="240" w:lineRule="auto"/>
    </w:pPr>
    <w:rPr>
      <w:sz w:val="20"/>
      <w:szCs w:val="20"/>
    </w:rPr>
  </w:style>
  <w:style w:type="character" w:customStyle="1" w:styleId="CommentTextChar">
    <w:name w:val="Comment Text Char"/>
    <w:basedOn w:val="DefaultParagraphFont"/>
    <w:link w:val="CommentText"/>
    <w:uiPriority w:val="99"/>
    <w:rsid w:val="009217A2"/>
    <w:rPr>
      <w:sz w:val="20"/>
      <w:szCs w:val="20"/>
    </w:rPr>
  </w:style>
  <w:style w:type="paragraph" w:styleId="CommentSubject">
    <w:name w:val="annotation subject"/>
    <w:basedOn w:val="CommentText"/>
    <w:next w:val="CommentText"/>
    <w:link w:val="CommentSubjectChar"/>
    <w:uiPriority w:val="99"/>
    <w:semiHidden/>
    <w:unhideWhenUsed/>
    <w:rsid w:val="009217A2"/>
    <w:rPr>
      <w:b/>
      <w:bCs/>
    </w:rPr>
  </w:style>
  <w:style w:type="character" w:customStyle="1" w:styleId="CommentSubjectChar">
    <w:name w:val="Comment Subject Char"/>
    <w:basedOn w:val="CommentTextChar"/>
    <w:link w:val="CommentSubject"/>
    <w:uiPriority w:val="99"/>
    <w:semiHidden/>
    <w:rsid w:val="009217A2"/>
    <w:rPr>
      <w:b/>
      <w:bCs/>
      <w:sz w:val="20"/>
      <w:szCs w:val="20"/>
    </w:rPr>
  </w:style>
  <w:style w:type="paragraph" w:styleId="BalloonText">
    <w:name w:val="Balloon Text"/>
    <w:basedOn w:val="Normal"/>
    <w:link w:val="BalloonTextChar"/>
    <w:uiPriority w:val="99"/>
    <w:semiHidden/>
    <w:unhideWhenUsed/>
    <w:rsid w:val="009217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7A2"/>
    <w:rPr>
      <w:rFonts w:ascii="Segoe UI" w:hAnsi="Segoe UI" w:cs="Segoe UI"/>
      <w:sz w:val="18"/>
      <w:szCs w:val="18"/>
    </w:rPr>
  </w:style>
  <w:style w:type="paragraph" w:styleId="PlainText">
    <w:name w:val="Plain Text"/>
    <w:basedOn w:val="Normal"/>
    <w:link w:val="PlainTextChar"/>
    <w:uiPriority w:val="99"/>
    <w:unhideWhenUsed/>
    <w:rsid w:val="00891F8F"/>
    <w:pPr>
      <w:spacing w:after="0" w:line="240" w:lineRule="auto"/>
    </w:pPr>
    <w:rPr>
      <w:rFonts w:ascii="Arial" w:hAnsi="Arial" w:cs="Arial"/>
      <w:szCs w:val="20"/>
      <w:lang w:val="en-US"/>
    </w:rPr>
  </w:style>
  <w:style w:type="character" w:customStyle="1" w:styleId="PlainTextChar">
    <w:name w:val="Plain Text Char"/>
    <w:basedOn w:val="DefaultParagraphFont"/>
    <w:link w:val="PlainText"/>
    <w:uiPriority w:val="99"/>
    <w:rsid w:val="00891F8F"/>
    <w:rPr>
      <w:rFonts w:ascii="Arial" w:eastAsia="Calibri" w:hAnsi="Arial" w:cs="Arial"/>
      <w:szCs w:val="20"/>
      <w:lang w:val="en-US"/>
    </w:rPr>
  </w:style>
  <w:style w:type="character" w:customStyle="1" w:styleId="Heading1Char">
    <w:name w:val="Heading 1 Char"/>
    <w:basedOn w:val="DefaultParagraphFont"/>
    <w:link w:val="Heading1"/>
    <w:uiPriority w:val="9"/>
    <w:rsid w:val="00E8360F"/>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F4273A"/>
    <w:rPr>
      <w:color w:val="605E5C"/>
      <w:shd w:val="clear" w:color="auto" w:fill="E1DFDD"/>
    </w:rPr>
  </w:style>
  <w:style w:type="paragraph" w:styleId="Revision">
    <w:name w:val="Revision"/>
    <w:hidden/>
    <w:uiPriority w:val="99"/>
    <w:semiHidden/>
    <w:rsid w:val="00885D76"/>
    <w:pPr>
      <w:spacing w:after="0" w:line="240" w:lineRule="auto"/>
    </w:p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67599D"/>
    <w:rPr>
      <w:color w:val="954F72" w:themeColor="followedHyperlink"/>
      <w:u w:val="single"/>
    </w:rPr>
  </w:style>
  <w:style w:type="character" w:customStyle="1" w:styleId="Heading3Char">
    <w:name w:val="Heading 3 Char"/>
    <w:basedOn w:val="DefaultParagraphFont"/>
    <w:link w:val="Heading3"/>
    <w:uiPriority w:val="9"/>
    <w:semiHidden/>
    <w:rsid w:val="005369DC"/>
    <w:rPr>
      <w:b/>
      <w:sz w:val="28"/>
      <w:szCs w:val="28"/>
    </w:rPr>
  </w:style>
  <w:style w:type="character" w:customStyle="1" w:styleId="Heading4Char">
    <w:name w:val="Heading 4 Char"/>
    <w:basedOn w:val="DefaultParagraphFont"/>
    <w:link w:val="Heading4"/>
    <w:uiPriority w:val="9"/>
    <w:semiHidden/>
    <w:rsid w:val="005369DC"/>
    <w:rPr>
      <w:b/>
      <w:sz w:val="24"/>
      <w:szCs w:val="24"/>
    </w:rPr>
  </w:style>
  <w:style w:type="character" w:customStyle="1" w:styleId="Heading5Char">
    <w:name w:val="Heading 5 Char"/>
    <w:basedOn w:val="DefaultParagraphFont"/>
    <w:link w:val="Heading5"/>
    <w:uiPriority w:val="9"/>
    <w:semiHidden/>
    <w:rsid w:val="005369DC"/>
    <w:rPr>
      <w:b/>
    </w:rPr>
  </w:style>
  <w:style w:type="character" w:customStyle="1" w:styleId="Heading6Char">
    <w:name w:val="Heading 6 Char"/>
    <w:basedOn w:val="DefaultParagraphFont"/>
    <w:link w:val="Heading6"/>
    <w:uiPriority w:val="9"/>
    <w:semiHidden/>
    <w:rsid w:val="005369DC"/>
    <w:rPr>
      <w:b/>
      <w:sz w:val="20"/>
      <w:szCs w:val="20"/>
    </w:rPr>
  </w:style>
  <w:style w:type="character" w:customStyle="1" w:styleId="TitleChar">
    <w:name w:val="Title Char"/>
    <w:basedOn w:val="DefaultParagraphFont"/>
    <w:link w:val="Title"/>
    <w:uiPriority w:val="10"/>
    <w:rsid w:val="005369DC"/>
    <w:rPr>
      <w:b/>
      <w:sz w:val="72"/>
      <w:szCs w:val="72"/>
    </w:rPr>
  </w:style>
  <w:style w:type="paragraph" w:customStyle="1" w:styleId="Default">
    <w:name w:val="Default"/>
    <w:rsid w:val="005369DC"/>
    <w:pPr>
      <w:autoSpaceDE w:val="0"/>
      <w:autoSpaceDN w:val="0"/>
      <w:adjustRightInd w:val="0"/>
      <w:spacing w:after="0" w:line="240" w:lineRule="auto"/>
    </w:pPr>
    <w:rPr>
      <w:rFonts w:eastAsia="Times New Roman"/>
      <w:color w:val="000000"/>
      <w:sz w:val="24"/>
      <w:szCs w:val="24"/>
    </w:rPr>
  </w:style>
  <w:style w:type="character" w:customStyle="1" w:styleId="UnresolvedMention1">
    <w:name w:val="Unresolved Mention1"/>
    <w:basedOn w:val="DefaultParagraphFont"/>
    <w:uiPriority w:val="99"/>
    <w:semiHidden/>
    <w:unhideWhenUsed/>
    <w:rsid w:val="005369DC"/>
    <w:rPr>
      <w:color w:val="605E5C"/>
      <w:shd w:val="clear" w:color="auto" w:fill="E1DFDD"/>
    </w:rPr>
  </w:style>
  <w:style w:type="character" w:customStyle="1" w:styleId="title-text">
    <w:name w:val="title-text"/>
    <w:basedOn w:val="DefaultParagraphFont"/>
    <w:rsid w:val="005369DC"/>
  </w:style>
  <w:style w:type="character" w:customStyle="1" w:styleId="ListParagraphChar">
    <w:name w:val="List Paragraph Char"/>
    <w:basedOn w:val="DefaultParagraphFont"/>
    <w:link w:val="ListParagraph"/>
    <w:uiPriority w:val="34"/>
    <w:rsid w:val="005369DC"/>
  </w:style>
  <w:style w:type="table" w:styleId="TableGrid">
    <w:name w:val="Table Grid"/>
    <w:basedOn w:val="TableNormal"/>
    <w:uiPriority w:val="39"/>
    <w:rsid w:val="005369DC"/>
    <w:pPr>
      <w:spacing w:after="0" w:line="240" w:lineRule="auto"/>
    </w:pPr>
    <w:rPr>
      <w:rFonts w:ascii="Times New Roman" w:eastAsia="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5369DC"/>
    <w:rPr>
      <w:rFonts w:ascii="Georgia" w:eastAsia="Georgia" w:hAnsi="Georgia" w:cs="Georgia"/>
      <w:i/>
      <w:color w:val="666666"/>
      <w:sz w:val="48"/>
      <w:szCs w:val="48"/>
    </w:rPr>
  </w:style>
  <w:style w:type="table" w:customStyle="1" w:styleId="62">
    <w:name w:val="62"/>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61">
    <w:name w:val="61"/>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60">
    <w:name w:val="60"/>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59">
    <w:name w:val="59"/>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58">
    <w:name w:val="58"/>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57">
    <w:name w:val="57"/>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56">
    <w:name w:val="56"/>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55">
    <w:name w:val="55"/>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54">
    <w:name w:val="54"/>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53">
    <w:name w:val="53"/>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52">
    <w:name w:val="52"/>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51">
    <w:name w:val="51"/>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50">
    <w:name w:val="50"/>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49">
    <w:name w:val="49"/>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48">
    <w:name w:val="48"/>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47">
    <w:name w:val="47"/>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46">
    <w:name w:val="46"/>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45">
    <w:name w:val="45"/>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44">
    <w:name w:val="44"/>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43">
    <w:name w:val="43"/>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42">
    <w:name w:val="42"/>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41">
    <w:name w:val="41"/>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40">
    <w:name w:val="40"/>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39">
    <w:name w:val="39"/>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38">
    <w:name w:val="38"/>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37">
    <w:name w:val="37"/>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36">
    <w:name w:val="36"/>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35">
    <w:name w:val="35"/>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34">
    <w:name w:val="34"/>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33">
    <w:name w:val="33"/>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32">
    <w:name w:val="32"/>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31">
    <w:name w:val="31"/>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30">
    <w:name w:val="30"/>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29">
    <w:name w:val="29"/>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28">
    <w:name w:val="28"/>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27">
    <w:name w:val="27"/>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26">
    <w:name w:val="26"/>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25">
    <w:name w:val="25"/>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24">
    <w:name w:val="24"/>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23">
    <w:name w:val="23"/>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Pr>
  </w:style>
  <w:style w:type="table" w:customStyle="1" w:styleId="22">
    <w:name w:val="22"/>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21">
    <w:name w:val="21"/>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20">
    <w:name w:val="20"/>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19">
    <w:name w:val="19"/>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18">
    <w:name w:val="18"/>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17">
    <w:name w:val="17"/>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16">
    <w:name w:val="16"/>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14">
    <w:name w:val="14"/>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13">
    <w:name w:val="13"/>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12">
    <w:name w:val="12"/>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5369DC"/>
    <w:pPr>
      <w:spacing w:after="0" w:line="240" w:lineRule="auto"/>
    </w:pPr>
    <w:rPr>
      <w:rFonts w:ascii="Times New Roman" w:eastAsia="Times New Roman" w:hAnsi="Times New Roman" w:cs="Times New Roman"/>
      <w:sz w:val="26"/>
      <w:szCs w:val="26"/>
    </w:rPr>
    <w:tblPr>
      <w:tblStyleRowBandSize w:val="1"/>
      <w:tblStyleColBandSize w:val="1"/>
      <w:tblCellMar>
        <w:top w:w="100" w:type="dxa"/>
        <w:left w:w="100" w:type="dxa"/>
        <w:bottom w:w="100" w:type="dxa"/>
        <w:right w:w="100" w:type="dxa"/>
      </w:tblCellMar>
    </w:tblPr>
  </w:style>
  <w:style w:type="character" w:customStyle="1" w:styleId="UnresolvedMention2">
    <w:name w:val="Unresolved Mention2"/>
    <w:basedOn w:val="DefaultParagraphFont"/>
    <w:uiPriority w:val="99"/>
    <w:semiHidden/>
    <w:unhideWhenUsed/>
    <w:rsid w:val="005369DC"/>
    <w:rPr>
      <w:color w:val="605E5C"/>
      <w:shd w:val="clear" w:color="auto" w:fill="E1DFDD"/>
    </w:rPr>
  </w:style>
  <w:style w:type="paragraph" w:styleId="FootnoteText">
    <w:name w:val="footnote text"/>
    <w:basedOn w:val="Normal"/>
    <w:link w:val="FootnoteTextChar"/>
    <w:uiPriority w:val="99"/>
    <w:semiHidden/>
    <w:unhideWhenUsed/>
    <w:rsid w:val="005369DC"/>
    <w:pPr>
      <w:autoSpaceDE w:val="0"/>
      <w:autoSpaceDN w:val="0"/>
      <w:adjustRightInd w:val="0"/>
      <w:spacing w:after="0" w:line="240" w:lineRule="auto"/>
    </w:pPr>
    <w:rPr>
      <w:rFonts w:ascii="Times New Roman" w:eastAsia="Times New Roman" w:hAnsi="Times New Roman" w:cs="Times New Roman"/>
      <w:color w:val="000000"/>
      <w:sz w:val="20"/>
      <w:szCs w:val="20"/>
    </w:rPr>
  </w:style>
  <w:style w:type="character" w:customStyle="1" w:styleId="FootnoteTextChar">
    <w:name w:val="Footnote Text Char"/>
    <w:basedOn w:val="DefaultParagraphFont"/>
    <w:link w:val="FootnoteText"/>
    <w:uiPriority w:val="99"/>
    <w:semiHidden/>
    <w:rsid w:val="005369DC"/>
    <w:rPr>
      <w:rFonts w:ascii="Times New Roman" w:eastAsia="Times New Roman" w:hAnsi="Times New Roman" w:cs="Times New Roman"/>
      <w:color w:val="000000"/>
      <w:sz w:val="20"/>
      <w:szCs w:val="20"/>
      <w:lang w:eastAsia="en-US"/>
    </w:rPr>
  </w:style>
  <w:style w:type="character" w:styleId="FootnoteReference">
    <w:name w:val="footnote reference"/>
    <w:basedOn w:val="DefaultParagraphFont"/>
    <w:uiPriority w:val="99"/>
    <w:semiHidden/>
    <w:unhideWhenUsed/>
    <w:rsid w:val="005369DC"/>
    <w:rPr>
      <w:vertAlign w:val="superscrip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paragraph" w:styleId="Bibliography">
    <w:name w:val="Bibliography"/>
    <w:basedOn w:val="Normal"/>
    <w:next w:val="Normal"/>
    <w:uiPriority w:val="37"/>
    <w:unhideWhenUsed/>
    <w:rsid w:val="00025D82"/>
  </w:style>
  <w:style w:type="paragraph" w:styleId="Header">
    <w:name w:val="header"/>
    <w:basedOn w:val="Normal"/>
    <w:link w:val="HeaderChar"/>
    <w:uiPriority w:val="99"/>
    <w:unhideWhenUsed/>
    <w:rsid w:val="00E53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31"/>
  </w:style>
  <w:style w:type="paragraph" w:styleId="Footer">
    <w:name w:val="footer"/>
    <w:basedOn w:val="Normal"/>
    <w:link w:val="FooterChar"/>
    <w:uiPriority w:val="99"/>
    <w:unhideWhenUsed/>
    <w:rsid w:val="00E53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0312">
      <w:bodyDiv w:val="1"/>
      <w:marLeft w:val="0"/>
      <w:marRight w:val="0"/>
      <w:marTop w:val="0"/>
      <w:marBottom w:val="0"/>
      <w:divBdr>
        <w:top w:val="none" w:sz="0" w:space="0" w:color="auto"/>
        <w:left w:val="none" w:sz="0" w:space="0" w:color="auto"/>
        <w:bottom w:val="none" w:sz="0" w:space="0" w:color="auto"/>
        <w:right w:val="none" w:sz="0" w:space="0" w:color="auto"/>
      </w:divBdr>
    </w:div>
    <w:div w:id="36056278">
      <w:bodyDiv w:val="1"/>
      <w:marLeft w:val="0"/>
      <w:marRight w:val="0"/>
      <w:marTop w:val="0"/>
      <w:marBottom w:val="0"/>
      <w:divBdr>
        <w:top w:val="none" w:sz="0" w:space="0" w:color="auto"/>
        <w:left w:val="none" w:sz="0" w:space="0" w:color="auto"/>
        <w:bottom w:val="none" w:sz="0" w:space="0" w:color="auto"/>
        <w:right w:val="none" w:sz="0" w:space="0" w:color="auto"/>
      </w:divBdr>
    </w:div>
    <w:div w:id="60445806">
      <w:bodyDiv w:val="1"/>
      <w:marLeft w:val="0"/>
      <w:marRight w:val="0"/>
      <w:marTop w:val="0"/>
      <w:marBottom w:val="0"/>
      <w:divBdr>
        <w:top w:val="none" w:sz="0" w:space="0" w:color="auto"/>
        <w:left w:val="none" w:sz="0" w:space="0" w:color="auto"/>
        <w:bottom w:val="none" w:sz="0" w:space="0" w:color="auto"/>
        <w:right w:val="none" w:sz="0" w:space="0" w:color="auto"/>
      </w:divBdr>
    </w:div>
    <w:div w:id="61217513">
      <w:bodyDiv w:val="1"/>
      <w:marLeft w:val="0"/>
      <w:marRight w:val="0"/>
      <w:marTop w:val="0"/>
      <w:marBottom w:val="0"/>
      <w:divBdr>
        <w:top w:val="none" w:sz="0" w:space="0" w:color="auto"/>
        <w:left w:val="none" w:sz="0" w:space="0" w:color="auto"/>
        <w:bottom w:val="none" w:sz="0" w:space="0" w:color="auto"/>
        <w:right w:val="none" w:sz="0" w:space="0" w:color="auto"/>
      </w:divBdr>
    </w:div>
    <w:div w:id="87430814">
      <w:bodyDiv w:val="1"/>
      <w:marLeft w:val="0"/>
      <w:marRight w:val="0"/>
      <w:marTop w:val="0"/>
      <w:marBottom w:val="0"/>
      <w:divBdr>
        <w:top w:val="none" w:sz="0" w:space="0" w:color="auto"/>
        <w:left w:val="none" w:sz="0" w:space="0" w:color="auto"/>
        <w:bottom w:val="none" w:sz="0" w:space="0" w:color="auto"/>
        <w:right w:val="none" w:sz="0" w:space="0" w:color="auto"/>
      </w:divBdr>
    </w:div>
    <w:div w:id="93475669">
      <w:bodyDiv w:val="1"/>
      <w:marLeft w:val="0"/>
      <w:marRight w:val="0"/>
      <w:marTop w:val="0"/>
      <w:marBottom w:val="0"/>
      <w:divBdr>
        <w:top w:val="none" w:sz="0" w:space="0" w:color="auto"/>
        <w:left w:val="none" w:sz="0" w:space="0" w:color="auto"/>
        <w:bottom w:val="none" w:sz="0" w:space="0" w:color="auto"/>
        <w:right w:val="none" w:sz="0" w:space="0" w:color="auto"/>
      </w:divBdr>
    </w:div>
    <w:div w:id="98108060">
      <w:bodyDiv w:val="1"/>
      <w:marLeft w:val="0"/>
      <w:marRight w:val="0"/>
      <w:marTop w:val="0"/>
      <w:marBottom w:val="0"/>
      <w:divBdr>
        <w:top w:val="none" w:sz="0" w:space="0" w:color="auto"/>
        <w:left w:val="none" w:sz="0" w:space="0" w:color="auto"/>
        <w:bottom w:val="none" w:sz="0" w:space="0" w:color="auto"/>
        <w:right w:val="none" w:sz="0" w:space="0" w:color="auto"/>
      </w:divBdr>
    </w:div>
    <w:div w:id="120197474">
      <w:bodyDiv w:val="1"/>
      <w:marLeft w:val="0"/>
      <w:marRight w:val="0"/>
      <w:marTop w:val="0"/>
      <w:marBottom w:val="0"/>
      <w:divBdr>
        <w:top w:val="none" w:sz="0" w:space="0" w:color="auto"/>
        <w:left w:val="none" w:sz="0" w:space="0" w:color="auto"/>
        <w:bottom w:val="none" w:sz="0" w:space="0" w:color="auto"/>
        <w:right w:val="none" w:sz="0" w:space="0" w:color="auto"/>
      </w:divBdr>
    </w:div>
    <w:div w:id="131872114">
      <w:bodyDiv w:val="1"/>
      <w:marLeft w:val="0"/>
      <w:marRight w:val="0"/>
      <w:marTop w:val="0"/>
      <w:marBottom w:val="0"/>
      <w:divBdr>
        <w:top w:val="none" w:sz="0" w:space="0" w:color="auto"/>
        <w:left w:val="none" w:sz="0" w:space="0" w:color="auto"/>
        <w:bottom w:val="none" w:sz="0" w:space="0" w:color="auto"/>
        <w:right w:val="none" w:sz="0" w:space="0" w:color="auto"/>
      </w:divBdr>
    </w:div>
    <w:div w:id="162091503">
      <w:bodyDiv w:val="1"/>
      <w:marLeft w:val="0"/>
      <w:marRight w:val="0"/>
      <w:marTop w:val="0"/>
      <w:marBottom w:val="0"/>
      <w:divBdr>
        <w:top w:val="none" w:sz="0" w:space="0" w:color="auto"/>
        <w:left w:val="none" w:sz="0" w:space="0" w:color="auto"/>
        <w:bottom w:val="none" w:sz="0" w:space="0" w:color="auto"/>
        <w:right w:val="none" w:sz="0" w:space="0" w:color="auto"/>
      </w:divBdr>
    </w:div>
    <w:div w:id="163396421">
      <w:bodyDiv w:val="1"/>
      <w:marLeft w:val="0"/>
      <w:marRight w:val="0"/>
      <w:marTop w:val="0"/>
      <w:marBottom w:val="0"/>
      <w:divBdr>
        <w:top w:val="none" w:sz="0" w:space="0" w:color="auto"/>
        <w:left w:val="none" w:sz="0" w:space="0" w:color="auto"/>
        <w:bottom w:val="none" w:sz="0" w:space="0" w:color="auto"/>
        <w:right w:val="none" w:sz="0" w:space="0" w:color="auto"/>
      </w:divBdr>
    </w:div>
    <w:div w:id="168952965">
      <w:bodyDiv w:val="1"/>
      <w:marLeft w:val="0"/>
      <w:marRight w:val="0"/>
      <w:marTop w:val="0"/>
      <w:marBottom w:val="0"/>
      <w:divBdr>
        <w:top w:val="none" w:sz="0" w:space="0" w:color="auto"/>
        <w:left w:val="none" w:sz="0" w:space="0" w:color="auto"/>
        <w:bottom w:val="none" w:sz="0" w:space="0" w:color="auto"/>
        <w:right w:val="none" w:sz="0" w:space="0" w:color="auto"/>
      </w:divBdr>
    </w:div>
    <w:div w:id="186868296">
      <w:bodyDiv w:val="1"/>
      <w:marLeft w:val="0"/>
      <w:marRight w:val="0"/>
      <w:marTop w:val="0"/>
      <w:marBottom w:val="0"/>
      <w:divBdr>
        <w:top w:val="none" w:sz="0" w:space="0" w:color="auto"/>
        <w:left w:val="none" w:sz="0" w:space="0" w:color="auto"/>
        <w:bottom w:val="none" w:sz="0" w:space="0" w:color="auto"/>
        <w:right w:val="none" w:sz="0" w:space="0" w:color="auto"/>
      </w:divBdr>
    </w:div>
    <w:div w:id="201282785">
      <w:bodyDiv w:val="1"/>
      <w:marLeft w:val="0"/>
      <w:marRight w:val="0"/>
      <w:marTop w:val="0"/>
      <w:marBottom w:val="0"/>
      <w:divBdr>
        <w:top w:val="none" w:sz="0" w:space="0" w:color="auto"/>
        <w:left w:val="none" w:sz="0" w:space="0" w:color="auto"/>
        <w:bottom w:val="none" w:sz="0" w:space="0" w:color="auto"/>
        <w:right w:val="none" w:sz="0" w:space="0" w:color="auto"/>
      </w:divBdr>
    </w:div>
    <w:div w:id="221600394">
      <w:bodyDiv w:val="1"/>
      <w:marLeft w:val="0"/>
      <w:marRight w:val="0"/>
      <w:marTop w:val="0"/>
      <w:marBottom w:val="0"/>
      <w:divBdr>
        <w:top w:val="none" w:sz="0" w:space="0" w:color="auto"/>
        <w:left w:val="none" w:sz="0" w:space="0" w:color="auto"/>
        <w:bottom w:val="none" w:sz="0" w:space="0" w:color="auto"/>
        <w:right w:val="none" w:sz="0" w:space="0" w:color="auto"/>
      </w:divBdr>
    </w:div>
    <w:div w:id="225530599">
      <w:bodyDiv w:val="1"/>
      <w:marLeft w:val="0"/>
      <w:marRight w:val="0"/>
      <w:marTop w:val="0"/>
      <w:marBottom w:val="0"/>
      <w:divBdr>
        <w:top w:val="none" w:sz="0" w:space="0" w:color="auto"/>
        <w:left w:val="none" w:sz="0" w:space="0" w:color="auto"/>
        <w:bottom w:val="none" w:sz="0" w:space="0" w:color="auto"/>
        <w:right w:val="none" w:sz="0" w:space="0" w:color="auto"/>
      </w:divBdr>
    </w:div>
    <w:div w:id="289943113">
      <w:bodyDiv w:val="1"/>
      <w:marLeft w:val="0"/>
      <w:marRight w:val="0"/>
      <w:marTop w:val="0"/>
      <w:marBottom w:val="0"/>
      <w:divBdr>
        <w:top w:val="none" w:sz="0" w:space="0" w:color="auto"/>
        <w:left w:val="none" w:sz="0" w:space="0" w:color="auto"/>
        <w:bottom w:val="none" w:sz="0" w:space="0" w:color="auto"/>
        <w:right w:val="none" w:sz="0" w:space="0" w:color="auto"/>
      </w:divBdr>
    </w:div>
    <w:div w:id="298153717">
      <w:bodyDiv w:val="1"/>
      <w:marLeft w:val="0"/>
      <w:marRight w:val="0"/>
      <w:marTop w:val="0"/>
      <w:marBottom w:val="0"/>
      <w:divBdr>
        <w:top w:val="none" w:sz="0" w:space="0" w:color="auto"/>
        <w:left w:val="none" w:sz="0" w:space="0" w:color="auto"/>
        <w:bottom w:val="none" w:sz="0" w:space="0" w:color="auto"/>
        <w:right w:val="none" w:sz="0" w:space="0" w:color="auto"/>
      </w:divBdr>
    </w:div>
    <w:div w:id="315494530">
      <w:bodyDiv w:val="1"/>
      <w:marLeft w:val="0"/>
      <w:marRight w:val="0"/>
      <w:marTop w:val="0"/>
      <w:marBottom w:val="0"/>
      <w:divBdr>
        <w:top w:val="none" w:sz="0" w:space="0" w:color="auto"/>
        <w:left w:val="none" w:sz="0" w:space="0" w:color="auto"/>
        <w:bottom w:val="none" w:sz="0" w:space="0" w:color="auto"/>
        <w:right w:val="none" w:sz="0" w:space="0" w:color="auto"/>
      </w:divBdr>
    </w:div>
    <w:div w:id="328487900">
      <w:bodyDiv w:val="1"/>
      <w:marLeft w:val="0"/>
      <w:marRight w:val="0"/>
      <w:marTop w:val="0"/>
      <w:marBottom w:val="0"/>
      <w:divBdr>
        <w:top w:val="none" w:sz="0" w:space="0" w:color="auto"/>
        <w:left w:val="none" w:sz="0" w:space="0" w:color="auto"/>
        <w:bottom w:val="none" w:sz="0" w:space="0" w:color="auto"/>
        <w:right w:val="none" w:sz="0" w:space="0" w:color="auto"/>
      </w:divBdr>
    </w:div>
    <w:div w:id="368994791">
      <w:bodyDiv w:val="1"/>
      <w:marLeft w:val="0"/>
      <w:marRight w:val="0"/>
      <w:marTop w:val="0"/>
      <w:marBottom w:val="0"/>
      <w:divBdr>
        <w:top w:val="none" w:sz="0" w:space="0" w:color="auto"/>
        <w:left w:val="none" w:sz="0" w:space="0" w:color="auto"/>
        <w:bottom w:val="none" w:sz="0" w:space="0" w:color="auto"/>
        <w:right w:val="none" w:sz="0" w:space="0" w:color="auto"/>
      </w:divBdr>
    </w:div>
    <w:div w:id="370541898">
      <w:bodyDiv w:val="1"/>
      <w:marLeft w:val="0"/>
      <w:marRight w:val="0"/>
      <w:marTop w:val="0"/>
      <w:marBottom w:val="0"/>
      <w:divBdr>
        <w:top w:val="none" w:sz="0" w:space="0" w:color="auto"/>
        <w:left w:val="none" w:sz="0" w:space="0" w:color="auto"/>
        <w:bottom w:val="none" w:sz="0" w:space="0" w:color="auto"/>
        <w:right w:val="none" w:sz="0" w:space="0" w:color="auto"/>
      </w:divBdr>
    </w:div>
    <w:div w:id="395206678">
      <w:bodyDiv w:val="1"/>
      <w:marLeft w:val="0"/>
      <w:marRight w:val="0"/>
      <w:marTop w:val="0"/>
      <w:marBottom w:val="0"/>
      <w:divBdr>
        <w:top w:val="none" w:sz="0" w:space="0" w:color="auto"/>
        <w:left w:val="none" w:sz="0" w:space="0" w:color="auto"/>
        <w:bottom w:val="none" w:sz="0" w:space="0" w:color="auto"/>
        <w:right w:val="none" w:sz="0" w:space="0" w:color="auto"/>
      </w:divBdr>
    </w:div>
    <w:div w:id="440995242">
      <w:bodyDiv w:val="1"/>
      <w:marLeft w:val="0"/>
      <w:marRight w:val="0"/>
      <w:marTop w:val="0"/>
      <w:marBottom w:val="0"/>
      <w:divBdr>
        <w:top w:val="none" w:sz="0" w:space="0" w:color="auto"/>
        <w:left w:val="none" w:sz="0" w:space="0" w:color="auto"/>
        <w:bottom w:val="none" w:sz="0" w:space="0" w:color="auto"/>
        <w:right w:val="none" w:sz="0" w:space="0" w:color="auto"/>
      </w:divBdr>
    </w:div>
    <w:div w:id="457383579">
      <w:bodyDiv w:val="1"/>
      <w:marLeft w:val="0"/>
      <w:marRight w:val="0"/>
      <w:marTop w:val="0"/>
      <w:marBottom w:val="0"/>
      <w:divBdr>
        <w:top w:val="none" w:sz="0" w:space="0" w:color="auto"/>
        <w:left w:val="none" w:sz="0" w:space="0" w:color="auto"/>
        <w:bottom w:val="none" w:sz="0" w:space="0" w:color="auto"/>
        <w:right w:val="none" w:sz="0" w:space="0" w:color="auto"/>
      </w:divBdr>
    </w:div>
    <w:div w:id="513492335">
      <w:bodyDiv w:val="1"/>
      <w:marLeft w:val="0"/>
      <w:marRight w:val="0"/>
      <w:marTop w:val="0"/>
      <w:marBottom w:val="0"/>
      <w:divBdr>
        <w:top w:val="none" w:sz="0" w:space="0" w:color="auto"/>
        <w:left w:val="none" w:sz="0" w:space="0" w:color="auto"/>
        <w:bottom w:val="none" w:sz="0" w:space="0" w:color="auto"/>
        <w:right w:val="none" w:sz="0" w:space="0" w:color="auto"/>
      </w:divBdr>
    </w:div>
    <w:div w:id="561410280">
      <w:bodyDiv w:val="1"/>
      <w:marLeft w:val="0"/>
      <w:marRight w:val="0"/>
      <w:marTop w:val="0"/>
      <w:marBottom w:val="0"/>
      <w:divBdr>
        <w:top w:val="none" w:sz="0" w:space="0" w:color="auto"/>
        <w:left w:val="none" w:sz="0" w:space="0" w:color="auto"/>
        <w:bottom w:val="none" w:sz="0" w:space="0" w:color="auto"/>
        <w:right w:val="none" w:sz="0" w:space="0" w:color="auto"/>
      </w:divBdr>
    </w:div>
    <w:div w:id="568228791">
      <w:bodyDiv w:val="1"/>
      <w:marLeft w:val="0"/>
      <w:marRight w:val="0"/>
      <w:marTop w:val="0"/>
      <w:marBottom w:val="0"/>
      <w:divBdr>
        <w:top w:val="none" w:sz="0" w:space="0" w:color="auto"/>
        <w:left w:val="none" w:sz="0" w:space="0" w:color="auto"/>
        <w:bottom w:val="none" w:sz="0" w:space="0" w:color="auto"/>
        <w:right w:val="none" w:sz="0" w:space="0" w:color="auto"/>
      </w:divBdr>
    </w:div>
    <w:div w:id="612399415">
      <w:bodyDiv w:val="1"/>
      <w:marLeft w:val="0"/>
      <w:marRight w:val="0"/>
      <w:marTop w:val="0"/>
      <w:marBottom w:val="0"/>
      <w:divBdr>
        <w:top w:val="none" w:sz="0" w:space="0" w:color="auto"/>
        <w:left w:val="none" w:sz="0" w:space="0" w:color="auto"/>
        <w:bottom w:val="none" w:sz="0" w:space="0" w:color="auto"/>
        <w:right w:val="none" w:sz="0" w:space="0" w:color="auto"/>
      </w:divBdr>
    </w:div>
    <w:div w:id="631404724">
      <w:bodyDiv w:val="1"/>
      <w:marLeft w:val="0"/>
      <w:marRight w:val="0"/>
      <w:marTop w:val="0"/>
      <w:marBottom w:val="0"/>
      <w:divBdr>
        <w:top w:val="none" w:sz="0" w:space="0" w:color="auto"/>
        <w:left w:val="none" w:sz="0" w:space="0" w:color="auto"/>
        <w:bottom w:val="none" w:sz="0" w:space="0" w:color="auto"/>
        <w:right w:val="none" w:sz="0" w:space="0" w:color="auto"/>
      </w:divBdr>
    </w:div>
    <w:div w:id="632366247">
      <w:bodyDiv w:val="1"/>
      <w:marLeft w:val="0"/>
      <w:marRight w:val="0"/>
      <w:marTop w:val="0"/>
      <w:marBottom w:val="0"/>
      <w:divBdr>
        <w:top w:val="none" w:sz="0" w:space="0" w:color="auto"/>
        <w:left w:val="none" w:sz="0" w:space="0" w:color="auto"/>
        <w:bottom w:val="none" w:sz="0" w:space="0" w:color="auto"/>
        <w:right w:val="none" w:sz="0" w:space="0" w:color="auto"/>
      </w:divBdr>
    </w:div>
    <w:div w:id="678895801">
      <w:bodyDiv w:val="1"/>
      <w:marLeft w:val="0"/>
      <w:marRight w:val="0"/>
      <w:marTop w:val="0"/>
      <w:marBottom w:val="0"/>
      <w:divBdr>
        <w:top w:val="none" w:sz="0" w:space="0" w:color="auto"/>
        <w:left w:val="none" w:sz="0" w:space="0" w:color="auto"/>
        <w:bottom w:val="none" w:sz="0" w:space="0" w:color="auto"/>
        <w:right w:val="none" w:sz="0" w:space="0" w:color="auto"/>
      </w:divBdr>
    </w:div>
    <w:div w:id="702099568">
      <w:bodyDiv w:val="1"/>
      <w:marLeft w:val="0"/>
      <w:marRight w:val="0"/>
      <w:marTop w:val="0"/>
      <w:marBottom w:val="0"/>
      <w:divBdr>
        <w:top w:val="none" w:sz="0" w:space="0" w:color="auto"/>
        <w:left w:val="none" w:sz="0" w:space="0" w:color="auto"/>
        <w:bottom w:val="none" w:sz="0" w:space="0" w:color="auto"/>
        <w:right w:val="none" w:sz="0" w:space="0" w:color="auto"/>
      </w:divBdr>
    </w:div>
    <w:div w:id="733091782">
      <w:bodyDiv w:val="1"/>
      <w:marLeft w:val="0"/>
      <w:marRight w:val="0"/>
      <w:marTop w:val="0"/>
      <w:marBottom w:val="0"/>
      <w:divBdr>
        <w:top w:val="none" w:sz="0" w:space="0" w:color="auto"/>
        <w:left w:val="none" w:sz="0" w:space="0" w:color="auto"/>
        <w:bottom w:val="none" w:sz="0" w:space="0" w:color="auto"/>
        <w:right w:val="none" w:sz="0" w:space="0" w:color="auto"/>
      </w:divBdr>
    </w:div>
    <w:div w:id="749470349">
      <w:bodyDiv w:val="1"/>
      <w:marLeft w:val="0"/>
      <w:marRight w:val="0"/>
      <w:marTop w:val="0"/>
      <w:marBottom w:val="0"/>
      <w:divBdr>
        <w:top w:val="none" w:sz="0" w:space="0" w:color="auto"/>
        <w:left w:val="none" w:sz="0" w:space="0" w:color="auto"/>
        <w:bottom w:val="none" w:sz="0" w:space="0" w:color="auto"/>
        <w:right w:val="none" w:sz="0" w:space="0" w:color="auto"/>
      </w:divBdr>
    </w:div>
    <w:div w:id="751704317">
      <w:bodyDiv w:val="1"/>
      <w:marLeft w:val="0"/>
      <w:marRight w:val="0"/>
      <w:marTop w:val="0"/>
      <w:marBottom w:val="0"/>
      <w:divBdr>
        <w:top w:val="none" w:sz="0" w:space="0" w:color="auto"/>
        <w:left w:val="none" w:sz="0" w:space="0" w:color="auto"/>
        <w:bottom w:val="none" w:sz="0" w:space="0" w:color="auto"/>
        <w:right w:val="none" w:sz="0" w:space="0" w:color="auto"/>
      </w:divBdr>
    </w:div>
    <w:div w:id="777024478">
      <w:bodyDiv w:val="1"/>
      <w:marLeft w:val="0"/>
      <w:marRight w:val="0"/>
      <w:marTop w:val="0"/>
      <w:marBottom w:val="0"/>
      <w:divBdr>
        <w:top w:val="none" w:sz="0" w:space="0" w:color="auto"/>
        <w:left w:val="none" w:sz="0" w:space="0" w:color="auto"/>
        <w:bottom w:val="none" w:sz="0" w:space="0" w:color="auto"/>
        <w:right w:val="none" w:sz="0" w:space="0" w:color="auto"/>
      </w:divBdr>
    </w:div>
    <w:div w:id="777917736">
      <w:bodyDiv w:val="1"/>
      <w:marLeft w:val="0"/>
      <w:marRight w:val="0"/>
      <w:marTop w:val="0"/>
      <w:marBottom w:val="0"/>
      <w:divBdr>
        <w:top w:val="none" w:sz="0" w:space="0" w:color="auto"/>
        <w:left w:val="none" w:sz="0" w:space="0" w:color="auto"/>
        <w:bottom w:val="none" w:sz="0" w:space="0" w:color="auto"/>
        <w:right w:val="none" w:sz="0" w:space="0" w:color="auto"/>
      </w:divBdr>
    </w:div>
    <w:div w:id="782385067">
      <w:bodyDiv w:val="1"/>
      <w:marLeft w:val="0"/>
      <w:marRight w:val="0"/>
      <w:marTop w:val="0"/>
      <w:marBottom w:val="0"/>
      <w:divBdr>
        <w:top w:val="none" w:sz="0" w:space="0" w:color="auto"/>
        <w:left w:val="none" w:sz="0" w:space="0" w:color="auto"/>
        <w:bottom w:val="none" w:sz="0" w:space="0" w:color="auto"/>
        <w:right w:val="none" w:sz="0" w:space="0" w:color="auto"/>
      </w:divBdr>
    </w:div>
    <w:div w:id="782656717">
      <w:bodyDiv w:val="1"/>
      <w:marLeft w:val="0"/>
      <w:marRight w:val="0"/>
      <w:marTop w:val="0"/>
      <w:marBottom w:val="0"/>
      <w:divBdr>
        <w:top w:val="none" w:sz="0" w:space="0" w:color="auto"/>
        <w:left w:val="none" w:sz="0" w:space="0" w:color="auto"/>
        <w:bottom w:val="none" w:sz="0" w:space="0" w:color="auto"/>
        <w:right w:val="none" w:sz="0" w:space="0" w:color="auto"/>
      </w:divBdr>
    </w:div>
    <w:div w:id="811361477">
      <w:bodyDiv w:val="1"/>
      <w:marLeft w:val="0"/>
      <w:marRight w:val="0"/>
      <w:marTop w:val="0"/>
      <w:marBottom w:val="0"/>
      <w:divBdr>
        <w:top w:val="none" w:sz="0" w:space="0" w:color="auto"/>
        <w:left w:val="none" w:sz="0" w:space="0" w:color="auto"/>
        <w:bottom w:val="none" w:sz="0" w:space="0" w:color="auto"/>
        <w:right w:val="none" w:sz="0" w:space="0" w:color="auto"/>
      </w:divBdr>
    </w:div>
    <w:div w:id="814906537">
      <w:bodyDiv w:val="1"/>
      <w:marLeft w:val="0"/>
      <w:marRight w:val="0"/>
      <w:marTop w:val="0"/>
      <w:marBottom w:val="0"/>
      <w:divBdr>
        <w:top w:val="none" w:sz="0" w:space="0" w:color="auto"/>
        <w:left w:val="none" w:sz="0" w:space="0" w:color="auto"/>
        <w:bottom w:val="none" w:sz="0" w:space="0" w:color="auto"/>
        <w:right w:val="none" w:sz="0" w:space="0" w:color="auto"/>
      </w:divBdr>
    </w:div>
    <w:div w:id="815495152">
      <w:bodyDiv w:val="1"/>
      <w:marLeft w:val="0"/>
      <w:marRight w:val="0"/>
      <w:marTop w:val="0"/>
      <w:marBottom w:val="0"/>
      <w:divBdr>
        <w:top w:val="none" w:sz="0" w:space="0" w:color="auto"/>
        <w:left w:val="none" w:sz="0" w:space="0" w:color="auto"/>
        <w:bottom w:val="none" w:sz="0" w:space="0" w:color="auto"/>
        <w:right w:val="none" w:sz="0" w:space="0" w:color="auto"/>
      </w:divBdr>
    </w:div>
    <w:div w:id="816263882">
      <w:bodyDiv w:val="1"/>
      <w:marLeft w:val="0"/>
      <w:marRight w:val="0"/>
      <w:marTop w:val="0"/>
      <w:marBottom w:val="0"/>
      <w:divBdr>
        <w:top w:val="none" w:sz="0" w:space="0" w:color="auto"/>
        <w:left w:val="none" w:sz="0" w:space="0" w:color="auto"/>
        <w:bottom w:val="none" w:sz="0" w:space="0" w:color="auto"/>
        <w:right w:val="none" w:sz="0" w:space="0" w:color="auto"/>
      </w:divBdr>
    </w:div>
    <w:div w:id="835925640">
      <w:bodyDiv w:val="1"/>
      <w:marLeft w:val="0"/>
      <w:marRight w:val="0"/>
      <w:marTop w:val="0"/>
      <w:marBottom w:val="0"/>
      <w:divBdr>
        <w:top w:val="none" w:sz="0" w:space="0" w:color="auto"/>
        <w:left w:val="none" w:sz="0" w:space="0" w:color="auto"/>
        <w:bottom w:val="none" w:sz="0" w:space="0" w:color="auto"/>
        <w:right w:val="none" w:sz="0" w:space="0" w:color="auto"/>
      </w:divBdr>
    </w:div>
    <w:div w:id="838424436">
      <w:bodyDiv w:val="1"/>
      <w:marLeft w:val="0"/>
      <w:marRight w:val="0"/>
      <w:marTop w:val="0"/>
      <w:marBottom w:val="0"/>
      <w:divBdr>
        <w:top w:val="none" w:sz="0" w:space="0" w:color="auto"/>
        <w:left w:val="none" w:sz="0" w:space="0" w:color="auto"/>
        <w:bottom w:val="none" w:sz="0" w:space="0" w:color="auto"/>
        <w:right w:val="none" w:sz="0" w:space="0" w:color="auto"/>
      </w:divBdr>
    </w:div>
    <w:div w:id="841820231">
      <w:bodyDiv w:val="1"/>
      <w:marLeft w:val="0"/>
      <w:marRight w:val="0"/>
      <w:marTop w:val="0"/>
      <w:marBottom w:val="0"/>
      <w:divBdr>
        <w:top w:val="none" w:sz="0" w:space="0" w:color="auto"/>
        <w:left w:val="none" w:sz="0" w:space="0" w:color="auto"/>
        <w:bottom w:val="none" w:sz="0" w:space="0" w:color="auto"/>
        <w:right w:val="none" w:sz="0" w:space="0" w:color="auto"/>
      </w:divBdr>
    </w:div>
    <w:div w:id="847869776">
      <w:bodyDiv w:val="1"/>
      <w:marLeft w:val="0"/>
      <w:marRight w:val="0"/>
      <w:marTop w:val="0"/>
      <w:marBottom w:val="0"/>
      <w:divBdr>
        <w:top w:val="none" w:sz="0" w:space="0" w:color="auto"/>
        <w:left w:val="none" w:sz="0" w:space="0" w:color="auto"/>
        <w:bottom w:val="none" w:sz="0" w:space="0" w:color="auto"/>
        <w:right w:val="none" w:sz="0" w:space="0" w:color="auto"/>
      </w:divBdr>
    </w:div>
    <w:div w:id="877929806">
      <w:bodyDiv w:val="1"/>
      <w:marLeft w:val="0"/>
      <w:marRight w:val="0"/>
      <w:marTop w:val="0"/>
      <w:marBottom w:val="0"/>
      <w:divBdr>
        <w:top w:val="none" w:sz="0" w:space="0" w:color="auto"/>
        <w:left w:val="none" w:sz="0" w:space="0" w:color="auto"/>
        <w:bottom w:val="none" w:sz="0" w:space="0" w:color="auto"/>
        <w:right w:val="none" w:sz="0" w:space="0" w:color="auto"/>
      </w:divBdr>
    </w:div>
    <w:div w:id="883450039">
      <w:bodyDiv w:val="1"/>
      <w:marLeft w:val="0"/>
      <w:marRight w:val="0"/>
      <w:marTop w:val="0"/>
      <w:marBottom w:val="0"/>
      <w:divBdr>
        <w:top w:val="none" w:sz="0" w:space="0" w:color="auto"/>
        <w:left w:val="none" w:sz="0" w:space="0" w:color="auto"/>
        <w:bottom w:val="none" w:sz="0" w:space="0" w:color="auto"/>
        <w:right w:val="none" w:sz="0" w:space="0" w:color="auto"/>
      </w:divBdr>
    </w:div>
    <w:div w:id="891578651">
      <w:bodyDiv w:val="1"/>
      <w:marLeft w:val="0"/>
      <w:marRight w:val="0"/>
      <w:marTop w:val="0"/>
      <w:marBottom w:val="0"/>
      <w:divBdr>
        <w:top w:val="none" w:sz="0" w:space="0" w:color="auto"/>
        <w:left w:val="none" w:sz="0" w:space="0" w:color="auto"/>
        <w:bottom w:val="none" w:sz="0" w:space="0" w:color="auto"/>
        <w:right w:val="none" w:sz="0" w:space="0" w:color="auto"/>
      </w:divBdr>
    </w:div>
    <w:div w:id="934630531">
      <w:bodyDiv w:val="1"/>
      <w:marLeft w:val="0"/>
      <w:marRight w:val="0"/>
      <w:marTop w:val="0"/>
      <w:marBottom w:val="0"/>
      <w:divBdr>
        <w:top w:val="none" w:sz="0" w:space="0" w:color="auto"/>
        <w:left w:val="none" w:sz="0" w:space="0" w:color="auto"/>
        <w:bottom w:val="none" w:sz="0" w:space="0" w:color="auto"/>
        <w:right w:val="none" w:sz="0" w:space="0" w:color="auto"/>
      </w:divBdr>
    </w:div>
    <w:div w:id="966397584">
      <w:bodyDiv w:val="1"/>
      <w:marLeft w:val="0"/>
      <w:marRight w:val="0"/>
      <w:marTop w:val="0"/>
      <w:marBottom w:val="0"/>
      <w:divBdr>
        <w:top w:val="none" w:sz="0" w:space="0" w:color="auto"/>
        <w:left w:val="none" w:sz="0" w:space="0" w:color="auto"/>
        <w:bottom w:val="none" w:sz="0" w:space="0" w:color="auto"/>
        <w:right w:val="none" w:sz="0" w:space="0" w:color="auto"/>
      </w:divBdr>
    </w:div>
    <w:div w:id="976573818">
      <w:bodyDiv w:val="1"/>
      <w:marLeft w:val="0"/>
      <w:marRight w:val="0"/>
      <w:marTop w:val="0"/>
      <w:marBottom w:val="0"/>
      <w:divBdr>
        <w:top w:val="none" w:sz="0" w:space="0" w:color="auto"/>
        <w:left w:val="none" w:sz="0" w:space="0" w:color="auto"/>
        <w:bottom w:val="none" w:sz="0" w:space="0" w:color="auto"/>
        <w:right w:val="none" w:sz="0" w:space="0" w:color="auto"/>
      </w:divBdr>
    </w:div>
    <w:div w:id="987973287">
      <w:bodyDiv w:val="1"/>
      <w:marLeft w:val="0"/>
      <w:marRight w:val="0"/>
      <w:marTop w:val="0"/>
      <w:marBottom w:val="0"/>
      <w:divBdr>
        <w:top w:val="none" w:sz="0" w:space="0" w:color="auto"/>
        <w:left w:val="none" w:sz="0" w:space="0" w:color="auto"/>
        <w:bottom w:val="none" w:sz="0" w:space="0" w:color="auto"/>
        <w:right w:val="none" w:sz="0" w:space="0" w:color="auto"/>
      </w:divBdr>
    </w:div>
    <w:div w:id="1003052152">
      <w:bodyDiv w:val="1"/>
      <w:marLeft w:val="0"/>
      <w:marRight w:val="0"/>
      <w:marTop w:val="0"/>
      <w:marBottom w:val="0"/>
      <w:divBdr>
        <w:top w:val="none" w:sz="0" w:space="0" w:color="auto"/>
        <w:left w:val="none" w:sz="0" w:space="0" w:color="auto"/>
        <w:bottom w:val="none" w:sz="0" w:space="0" w:color="auto"/>
        <w:right w:val="none" w:sz="0" w:space="0" w:color="auto"/>
      </w:divBdr>
    </w:div>
    <w:div w:id="1018048691">
      <w:bodyDiv w:val="1"/>
      <w:marLeft w:val="0"/>
      <w:marRight w:val="0"/>
      <w:marTop w:val="0"/>
      <w:marBottom w:val="0"/>
      <w:divBdr>
        <w:top w:val="none" w:sz="0" w:space="0" w:color="auto"/>
        <w:left w:val="none" w:sz="0" w:space="0" w:color="auto"/>
        <w:bottom w:val="none" w:sz="0" w:space="0" w:color="auto"/>
        <w:right w:val="none" w:sz="0" w:space="0" w:color="auto"/>
      </w:divBdr>
    </w:div>
    <w:div w:id="1027219584">
      <w:bodyDiv w:val="1"/>
      <w:marLeft w:val="0"/>
      <w:marRight w:val="0"/>
      <w:marTop w:val="0"/>
      <w:marBottom w:val="0"/>
      <w:divBdr>
        <w:top w:val="none" w:sz="0" w:space="0" w:color="auto"/>
        <w:left w:val="none" w:sz="0" w:space="0" w:color="auto"/>
        <w:bottom w:val="none" w:sz="0" w:space="0" w:color="auto"/>
        <w:right w:val="none" w:sz="0" w:space="0" w:color="auto"/>
      </w:divBdr>
    </w:div>
    <w:div w:id="1128162661">
      <w:bodyDiv w:val="1"/>
      <w:marLeft w:val="0"/>
      <w:marRight w:val="0"/>
      <w:marTop w:val="0"/>
      <w:marBottom w:val="0"/>
      <w:divBdr>
        <w:top w:val="none" w:sz="0" w:space="0" w:color="auto"/>
        <w:left w:val="none" w:sz="0" w:space="0" w:color="auto"/>
        <w:bottom w:val="none" w:sz="0" w:space="0" w:color="auto"/>
        <w:right w:val="none" w:sz="0" w:space="0" w:color="auto"/>
      </w:divBdr>
    </w:div>
    <w:div w:id="1163815472">
      <w:bodyDiv w:val="1"/>
      <w:marLeft w:val="0"/>
      <w:marRight w:val="0"/>
      <w:marTop w:val="0"/>
      <w:marBottom w:val="0"/>
      <w:divBdr>
        <w:top w:val="none" w:sz="0" w:space="0" w:color="auto"/>
        <w:left w:val="none" w:sz="0" w:space="0" w:color="auto"/>
        <w:bottom w:val="none" w:sz="0" w:space="0" w:color="auto"/>
        <w:right w:val="none" w:sz="0" w:space="0" w:color="auto"/>
      </w:divBdr>
    </w:div>
    <w:div w:id="1169101571">
      <w:bodyDiv w:val="1"/>
      <w:marLeft w:val="0"/>
      <w:marRight w:val="0"/>
      <w:marTop w:val="0"/>
      <w:marBottom w:val="0"/>
      <w:divBdr>
        <w:top w:val="none" w:sz="0" w:space="0" w:color="auto"/>
        <w:left w:val="none" w:sz="0" w:space="0" w:color="auto"/>
        <w:bottom w:val="none" w:sz="0" w:space="0" w:color="auto"/>
        <w:right w:val="none" w:sz="0" w:space="0" w:color="auto"/>
      </w:divBdr>
    </w:div>
    <w:div w:id="1179195633">
      <w:bodyDiv w:val="1"/>
      <w:marLeft w:val="0"/>
      <w:marRight w:val="0"/>
      <w:marTop w:val="0"/>
      <w:marBottom w:val="0"/>
      <w:divBdr>
        <w:top w:val="none" w:sz="0" w:space="0" w:color="auto"/>
        <w:left w:val="none" w:sz="0" w:space="0" w:color="auto"/>
        <w:bottom w:val="none" w:sz="0" w:space="0" w:color="auto"/>
        <w:right w:val="none" w:sz="0" w:space="0" w:color="auto"/>
      </w:divBdr>
    </w:div>
    <w:div w:id="1187282709">
      <w:bodyDiv w:val="1"/>
      <w:marLeft w:val="0"/>
      <w:marRight w:val="0"/>
      <w:marTop w:val="0"/>
      <w:marBottom w:val="0"/>
      <w:divBdr>
        <w:top w:val="none" w:sz="0" w:space="0" w:color="auto"/>
        <w:left w:val="none" w:sz="0" w:space="0" w:color="auto"/>
        <w:bottom w:val="none" w:sz="0" w:space="0" w:color="auto"/>
        <w:right w:val="none" w:sz="0" w:space="0" w:color="auto"/>
      </w:divBdr>
    </w:div>
    <w:div w:id="1197963368">
      <w:bodyDiv w:val="1"/>
      <w:marLeft w:val="0"/>
      <w:marRight w:val="0"/>
      <w:marTop w:val="0"/>
      <w:marBottom w:val="0"/>
      <w:divBdr>
        <w:top w:val="none" w:sz="0" w:space="0" w:color="auto"/>
        <w:left w:val="none" w:sz="0" w:space="0" w:color="auto"/>
        <w:bottom w:val="none" w:sz="0" w:space="0" w:color="auto"/>
        <w:right w:val="none" w:sz="0" w:space="0" w:color="auto"/>
      </w:divBdr>
    </w:div>
    <w:div w:id="1210189532">
      <w:bodyDiv w:val="1"/>
      <w:marLeft w:val="0"/>
      <w:marRight w:val="0"/>
      <w:marTop w:val="0"/>
      <w:marBottom w:val="0"/>
      <w:divBdr>
        <w:top w:val="none" w:sz="0" w:space="0" w:color="auto"/>
        <w:left w:val="none" w:sz="0" w:space="0" w:color="auto"/>
        <w:bottom w:val="none" w:sz="0" w:space="0" w:color="auto"/>
        <w:right w:val="none" w:sz="0" w:space="0" w:color="auto"/>
      </w:divBdr>
    </w:div>
    <w:div w:id="1264150794">
      <w:bodyDiv w:val="1"/>
      <w:marLeft w:val="0"/>
      <w:marRight w:val="0"/>
      <w:marTop w:val="0"/>
      <w:marBottom w:val="0"/>
      <w:divBdr>
        <w:top w:val="none" w:sz="0" w:space="0" w:color="auto"/>
        <w:left w:val="none" w:sz="0" w:space="0" w:color="auto"/>
        <w:bottom w:val="none" w:sz="0" w:space="0" w:color="auto"/>
        <w:right w:val="none" w:sz="0" w:space="0" w:color="auto"/>
      </w:divBdr>
    </w:div>
    <w:div w:id="1270965736">
      <w:bodyDiv w:val="1"/>
      <w:marLeft w:val="0"/>
      <w:marRight w:val="0"/>
      <w:marTop w:val="0"/>
      <w:marBottom w:val="0"/>
      <w:divBdr>
        <w:top w:val="none" w:sz="0" w:space="0" w:color="auto"/>
        <w:left w:val="none" w:sz="0" w:space="0" w:color="auto"/>
        <w:bottom w:val="none" w:sz="0" w:space="0" w:color="auto"/>
        <w:right w:val="none" w:sz="0" w:space="0" w:color="auto"/>
      </w:divBdr>
    </w:div>
    <w:div w:id="1354529252">
      <w:bodyDiv w:val="1"/>
      <w:marLeft w:val="0"/>
      <w:marRight w:val="0"/>
      <w:marTop w:val="0"/>
      <w:marBottom w:val="0"/>
      <w:divBdr>
        <w:top w:val="none" w:sz="0" w:space="0" w:color="auto"/>
        <w:left w:val="none" w:sz="0" w:space="0" w:color="auto"/>
        <w:bottom w:val="none" w:sz="0" w:space="0" w:color="auto"/>
        <w:right w:val="none" w:sz="0" w:space="0" w:color="auto"/>
      </w:divBdr>
    </w:div>
    <w:div w:id="1403720042">
      <w:bodyDiv w:val="1"/>
      <w:marLeft w:val="0"/>
      <w:marRight w:val="0"/>
      <w:marTop w:val="0"/>
      <w:marBottom w:val="0"/>
      <w:divBdr>
        <w:top w:val="none" w:sz="0" w:space="0" w:color="auto"/>
        <w:left w:val="none" w:sz="0" w:space="0" w:color="auto"/>
        <w:bottom w:val="none" w:sz="0" w:space="0" w:color="auto"/>
        <w:right w:val="none" w:sz="0" w:space="0" w:color="auto"/>
      </w:divBdr>
    </w:div>
    <w:div w:id="1409376770">
      <w:bodyDiv w:val="1"/>
      <w:marLeft w:val="0"/>
      <w:marRight w:val="0"/>
      <w:marTop w:val="0"/>
      <w:marBottom w:val="0"/>
      <w:divBdr>
        <w:top w:val="none" w:sz="0" w:space="0" w:color="auto"/>
        <w:left w:val="none" w:sz="0" w:space="0" w:color="auto"/>
        <w:bottom w:val="none" w:sz="0" w:space="0" w:color="auto"/>
        <w:right w:val="none" w:sz="0" w:space="0" w:color="auto"/>
      </w:divBdr>
    </w:div>
    <w:div w:id="1433546258">
      <w:bodyDiv w:val="1"/>
      <w:marLeft w:val="0"/>
      <w:marRight w:val="0"/>
      <w:marTop w:val="0"/>
      <w:marBottom w:val="0"/>
      <w:divBdr>
        <w:top w:val="none" w:sz="0" w:space="0" w:color="auto"/>
        <w:left w:val="none" w:sz="0" w:space="0" w:color="auto"/>
        <w:bottom w:val="none" w:sz="0" w:space="0" w:color="auto"/>
        <w:right w:val="none" w:sz="0" w:space="0" w:color="auto"/>
      </w:divBdr>
    </w:div>
    <w:div w:id="1436630142">
      <w:bodyDiv w:val="1"/>
      <w:marLeft w:val="0"/>
      <w:marRight w:val="0"/>
      <w:marTop w:val="0"/>
      <w:marBottom w:val="0"/>
      <w:divBdr>
        <w:top w:val="none" w:sz="0" w:space="0" w:color="auto"/>
        <w:left w:val="none" w:sz="0" w:space="0" w:color="auto"/>
        <w:bottom w:val="none" w:sz="0" w:space="0" w:color="auto"/>
        <w:right w:val="none" w:sz="0" w:space="0" w:color="auto"/>
      </w:divBdr>
    </w:div>
    <w:div w:id="1439716089">
      <w:bodyDiv w:val="1"/>
      <w:marLeft w:val="0"/>
      <w:marRight w:val="0"/>
      <w:marTop w:val="0"/>
      <w:marBottom w:val="0"/>
      <w:divBdr>
        <w:top w:val="none" w:sz="0" w:space="0" w:color="auto"/>
        <w:left w:val="none" w:sz="0" w:space="0" w:color="auto"/>
        <w:bottom w:val="none" w:sz="0" w:space="0" w:color="auto"/>
        <w:right w:val="none" w:sz="0" w:space="0" w:color="auto"/>
      </w:divBdr>
    </w:div>
    <w:div w:id="1455172348">
      <w:bodyDiv w:val="1"/>
      <w:marLeft w:val="0"/>
      <w:marRight w:val="0"/>
      <w:marTop w:val="0"/>
      <w:marBottom w:val="0"/>
      <w:divBdr>
        <w:top w:val="none" w:sz="0" w:space="0" w:color="auto"/>
        <w:left w:val="none" w:sz="0" w:space="0" w:color="auto"/>
        <w:bottom w:val="none" w:sz="0" w:space="0" w:color="auto"/>
        <w:right w:val="none" w:sz="0" w:space="0" w:color="auto"/>
      </w:divBdr>
    </w:div>
    <w:div w:id="1470170893">
      <w:bodyDiv w:val="1"/>
      <w:marLeft w:val="0"/>
      <w:marRight w:val="0"/>
      <w:marTop w:val="0"/>
      <w:marBottom w:val="0"/>
      <w:divBdr>
        <w:top w:val="none" w:sz="0" w:space="0" w:color="auto"/>
        <w:left w:val="none" w:sz="0" w:space="0" w:color="auto"/>
        <w:bottom w:val="none" w:sz="0" w:space="0" w:color="auto"/>
        <w:right w:val="none" w:sz="0" w:space="0" w:color="auto"/>
      </w:divBdr>
    </w:div>
    <w:div w:id="1486777274">
      <w:bodyDiv w:val="1"/>
      <w:marLeft w:val="0"/>
      <w:marRight w:val="0"/>
      <w:marTop w:val="0"/>
      <w:marBottom w:val="0"/>
      <w:divBdr>
        <w:top w:val="none" w:sz="0" w:space="0" w:color="auto"/>
        <w:left w:val="none" w:sz="0" w:space="0" w:color="auto"/>
        <w:bottom w:val="none" w:sz="0" w:space="0" w:color="auto"/>
        <w:right w:val="none" w:sz="0" w:space="0" w:color="auto"/>
      </w:divBdr>
    </w:div>
    <w:div w:id="1495948711">
      <w:bodyDiv w:val="1"/>
      <w:marLeft w:val="0"/>
      <w:marRight w:val="0"/>
      <w:marTop w:val="0"/>
      <w:marBottom w:val="0"/>
      <w:divBdr>
        <w:top w:val="none" w:sz="0" w:space="0" w:color="auto"/>
        <w:left w:val="none" w:sz="0" w:space="0" w:color="auto"/>
        <w:bottom w:val="none" w:sz="0" w:space="0" w:color="auto"/>
        <w:right w:val="none" w:sz="0" w:space="0" w:color="auto"/>
      </w:divBdr>
    </w:div>
    <w:div w:id="1505628214">
      <w:bodyDiv w:val="1"/>
      <w:marLeft w:val="0"/>
      <w:marRight w:val="0"/>
      <w:marTop w:val="0"/>
      <w:marBottom w:val="0"/>
      <w:divBdr>
        <w:top w:val="none" w:sz="0" w:space="0" w:color="auto"/>
        <w:left w:val="none" w:sz="0" w:space="0" w:color="auto"/>
        <w:bottom w:val="none" w:sz="0" w:space="0" w:color="auto"/>
        <w:right w:val="none" w:sz="0" w:space="0" w:color="auto"/>
      </w:divBdr>
    </w:div>
    <w:div w:id="1537935680">
      <w:bodyDiv w:val="1"/>
      <w:marLeft w:val="0"/>
      <w:marRight w:val="0"/>
      <w:marTop w:val="0"/>
      <w:marBottom w:val="0"/>
      <w:divBdr>
        <w:top w:val="none" w:sz="0" w:space="0" w:color="auto"/>
        <w:left w:val="none" w:sz="0" w:space="0" w:color="auto"/>
        <w:bottom w:val="none" w:sz="0" w:space="0" w:color="auto"/>
        <w:right w:val="none" w:sz="0" w:space="0" w:color="auto"/>
      </w:divBdr>
    </w:div>
    <w:div w:id="1546601633">
      <w:bodyDiv w:val="1"/>
      <w:marLeft w:val="0"/>
      <w:marRight w:val="0"/>
      <w:marTop w:val="0"/>
      <w:marBottom w:val="0"/>
      <w:divBdr>
        <w:top w:val="none" w:sz="0" w:space="0" w:color="auto"/>
        <w:left w:val="none" w:sz="0" w:space="0" w:color="auto"/>
        <w:bottom w:val="none" w:sz="0" w:space="0" w:color="auto"/>
        <w:right w:val="none" w:sz="0" w:space="0" w:color="auto"/>
      </w:divBdr>
    </w:div>
    <w:div w:id="1546865914">
      <w:bodyDiv w:val="1"/>
      <w:marLeft w:val="0"/>
      <w:marRight w:val="0"/>
      <w:marTop w:val="0"/>
      <w:marBottom w:val="0"/>
      <w:divBdr>
        <w:top w:val="none" w:sz="0" w:space="0" w:color="auto"/>
        <w:left w:val="none" w:sz="0" w:space="0" w:color="auto"/>
        <w:bottom w:val="none" w:sz="0" w:space="0" w:color="auto"/>
        <w:right w:val="none" w:sz="0" w:space="0" w:color="auto"/>
      </w:divBdr>
    </w:div>
    <w:div w:id="1560944978">
      <w:bodyDiv w:val="1"/>
      <w:marLeft w:val="0"/>
      <w:marRight w:val="0"/>
      <w:marTop w:val="0"/>
      <w:marBottom w:val="0"/>
      <w:divBdr>
        <w:top w:val="none" w:sz="0" w:space="0" w:color="auto"/>
        <w:left w:val="none" w:sz="0" w:space="0" w:color="auto"/>
        <w:bottom w:val="none" w:sz="0" w:space="0" w:color="auto"/>
        <w:right w:val="none" w:sz="0" w:space="0" w:color="auto"/>
      </w:divBdr>
    </w:div>
    <w:div w:id="1572961906">
      <w:bodyDiv w:val="1"/>
      <w:marLeft w:val="0"/>
      <w:marRight w:val="0"/>
      <w:marTop w:val="0"/>
      <w:marBottom w:val="0"/>
      <w:divBdr>
        <w:top w:val="none" w:sz="0" w:space="0" w:color="auto"/>
        <w:left w:val="none" w:sz="0" w:space="0" w:color="auto"/>
        <w:bottom w:val="none" w:sz="0" w:space="0" w:color="auto"/>
        <w:right w:val="none" w:sz="0" w:space="0" w:color="auto"/>
      </w:divBdr>
    </w:div>
    <w:div w:id="1579900012">
      <w:bodyDiv w:val="1"/>
      <w:marLeft w:val="0"/>
      <w:marRight w:val="0"/>
      <w:marTop w:val="0"/>
      <w:marBottom w:val="0"/>
      <w:divBdr>
        <w:top w:val="none" w:sz="0" w:space="0" w:color="auto"/>
        <w:left w:val="none" w:sz="0" w:space="0" w:color="auto"/>
        <w:bottom w:val="none" w:sz="0" w:space="0" w:color="auto"/>
        <w:right w:val="none" w:sz="0" w:space="0" w:color="auto"/>
      </w:divBdr>
    </w:div>
    <w:div w:id="1603805658">
      <w:bodyDiv w:val="1"/>
      <w:marLeft w:val="0"/>
      <w:marRight w:val="0"/>
      <w:marTop w:val="0"/>
      <w:marBottom w:val="0"/>
      <w:divBdr>
        <w:top w:val="none" w:sz="0" w:space="0" w:color="auto"/>
        <w:left w:val="none" w:sz="0" w:space="0" w:color="auto"/>
        <w:bottom w:val="none" w:sz="0" w:space="0" w:color="auto"/>
        <w:right w:val="none" w:sz="0" w:space="0" w:color="auto"/>
      </w:divBdr>
    </w:div>
    <w:div w:id="1631588520">
      <w:bodyDiv w:val="1"/>
      <w:marLeft w:val="0"/>
      <w:marRight w:val="0"/>
      <w:marTop w:val="0"/>
      <w:marBottom w:val="0"/>
      <w:divBdr>
        <w:top w:val="none" w:sz="0" w:space="0" w:color="auto"/>
        <w:left w:val="none" w:sz="0" w:space="0" w:color="auto"/>
        <w:bottom w:val="none" w:sz="0" w:space="0" w:color="auto"/>
        <w:right w:val="none" w:sz="0" w:space="0" w:color="auto"/>
      </w:divBdr>
    </w:div>
    <w:div w:id="1636790159">
      <w:bodyDiv w:val="1"/>
      <w:marLeft w:val="0"/>
      <w:marRight w:val="0"/>
      <w:marTop w:val="0"/>
      <w:marBottom w:val="0"/>
      <w:divBdr>
        <w:top w:val="none" w:sz="0" w:space="0" w:color="auto"/>
        <w:left w:val="none" w:sz="0" w:space="0" w:color="auto"/>
        <w:bottom w:val="none" w:sz="0" w:space="0" w:color="auto"/>
        <w:right w:val="none" w:sz="0" w:space="0" w:color="auto"/>
      </w:divBdr>
    </w:div>
    <w:div w:id="1639872746">
      <w:bodyDiv w:val="1"/>
      <w:marLeft w:val="0"/>
      <w:marRight w:val="0"/>
      <w:marTop w:val="0"/>
      <w:marBottom w:val="0"/>
      <w:divBdr>
        <w:top w:val="none" w:sz="0" w:space="0" w:color="auto"/>
        <w:left w:val="none" w:sz="0" w:space="0" w:color="auto"/>
        <w:bottom w:val="none" w:sz="0" w:space="0" w:color="auto"/>
        <w:right w:val="none" w:sz="0" w:space="0" w:color="auto"/>
      </w:divBdr>
    </w:div>
    <w:div w:id="1640960099">
      <w:bodyDiv w:val="1"/>
      <w:marLeft w:val="0"/>
      <w:marRight w:val="0"/>
      <w:marTop w:val="0"/>
      <w:marBottom w:val="0"/>
      <w:divBdr>
        <w:top w:val="none" w:sz="0" w:space="0" w:color="auto"/>
        <w:left w:val="none" w:sz="0" w:space="0" w:color="auto"/>
        <w:bottom w:val="none" w:sz="0" w:space="0" w:color="auto"/>
        <w:right w:val="none" w:sz="0" w:space="0" w:color="auto"/>
      </w:divBdr>
    </w:div>
    <w:div w:id="1694459658">
      <w:bodyDiv w:val="1"/>
      <w:marLeft w:val="0"/>
      <w:marRight w:val="0"/>
      <w:marTop w:val="0"/>
      <w:marBottom w:val="0"/>
      <w:divBdr>
        <w:top w:val="none" w:sz="0" w:space="0" w:color="auto"/>
        <w:left w:val="none" w:sz="0" w:space="0" w:color="auto"/>
        <w:bottom w:val="none" w:sz="0" w:space="0" w:color="auto"/>
        <w:right w:val="none" w:sz="0" w:space="0" w:color="auto"/>
      </w:divBdr>
    </w:div>
    <w:div w:id="1701781540">
      <w:bodyDiv w:val="1"/>
      <w:marLeft w:val="0"/>
      <w:marRight w:val="0"/>
      <w:marTop w:val="0"/>
      <w:marBottom w:val="0"/>
      <w:divBdr>
        <w:top w:val="none" w:sz="0" w:space="0" w:color="auto"/>
        <w:left w:val="none" w:sz="0" w:space="0" w:color="auto"/>
        <w:bottom w:val="none" w:sz="0" w:space="0" w:color="auto"/>
        <w:right w:val="none" w:sz="0" w:space="0" w:color="auto"/>
      </w:divBdr>
    </w:div>
    <w:div w:id="1720855932">
      <w:bodyDiv w:val="1"/>
      <w:marLeft w:val="0"/>
      <w:marRight w:val="0"/>
      <w:marTop w:val="0"/>
      <w:marBottom w:val="0"/>
      <w:divBdr>
        <w:top w:val="none" w:sz="0" w:space="0" w:color="auto"/>
        <w:left w:val="none" w:sz="0" w:space="0" w:color="auto"/>
        <w:bottom w:val="none" w:sz="0" w:space="0" w:color="auto"/>
        <w:right w:val="none" w:sz="0" w:space="0" w:color="auto"/>
      </w:divBdr>
    </w:div>
    <w:div w:id="1733119030">
      <w:bodyDiv w:val="1"/>
      <w:marLeft w:val="0"/>
      <w:marRight w:val="0"/>
      <w:marTop w:val="0"/>
      <w:marBottom w:val="0"/>
      <w:divBdr>
        <w:top w:val="none" w:sz="0" w:space="0" w:color="auto"/>
        <w:left w:val="none" w:sz="0" w:space="0" w:color="auto"/>
        <w:bottom w:val="none" w:sz="0" w:space="0" w:color="auto"/>
        <w:right w:val="none" w:sz="0" w:space="0" w:color="auto"/>
      </w:divBdr>
    </w:div>
    <w:div w:id="1765153363">
      <w:bodyDiv w:val="1"/>
      <w:marLeft w:val="0"/>
      <w:marRight w:val="0"/>
      <w:marTop w:val="0"/>
      <w:marBottom w:val="0"/>
      <w:divBdr>
        <w:top w:val="none" w:sz="0" w:space="0" w:color="auto"/>
        <w:left w:val="none" w:sz="0" w:space="0" w:color="auto"/>
        <w:bottom w:val="none" w:sz="0" w:space="0" w:color="auto"/>
        <w:right w:val="none" w:sz="0" w:space="0" w:color="auto"/>
      </w:divBdr>
    </w:div>
    <w:div w:id="1770153075">
      <w:bodyDiv w:val="1"/>
      <w:marLeft w:val="0"/>
      <w:marRight w:val="0"/>
      <w:marTop w:val="0"/>
      <w:marBottom w:val="0"/>
      <w:divBdr>
        <w:top w:val="none" w:sz="0" w:space="0" w:color="auto"/>
        <w:left w:val="none" w:sz="0" w:space="0" w:color="auto"/>
        <w:bottom w:val="none" w:sz="0" w:space="0" w:color="auto"/>
        <w:right w:val="none" w:sz="0" w:space="0" w:color="auto"/>
      </w:divBdr>
    </w:div>
    <w:div w:id="1772117421">
      <w:bodyDiv w:val="1"/>
      <w:marLeft w:val="0"/>
      <w:marRight w:val="0"/>
      <w:marTop w:val="0"/>
      <w:marBottom w:val="0"/>
      <w:divBdr>
        <w:top w:val="none" w:sz="0" w:space="0" w:color="auto"/>
        <w:left w:val="none" w:sz="0" w:space="0" w:color="auto"/>
        <w:bottom w:val="none" w:sz="0" w:space="0" w:color="auto"/>
        <w:right w:val="none" w:sz="0" w:space="0" w:color="auto"/>
      </w:divBdr>
    </w:div>
    <w:div w:id="1772555119">
      <w:bodyDiv w:val="1"/>
      <w:marLeft w:val="0"/>
      <w:marRight w:val="0"/>
      <w:marTop w:val="0"/>
      <w:marBottom w:val="0"/>
      <w:divBdr>
        <w:top w:val="none" w:sz="0" w:space="0" w:color="auto"/>
        <w:left w:val="none" w:sz="0" w:space="0" w:color="auto"/>
        <w:bottom w:val="none" w:sz="0" w:space="0" w:color="auto"/>
        <w:right w:val="none" w:sz="0" w:space="0" w:color="auto"/>
      </w:divBdr>
    </w:div>
    <w:div w:id="1830632026">
      <w:bodyDiv w:val="1"/>
      <w:marLeft w:val="0"/>
      <w:marRight w:val="0"/>
      <w:marTop w:val="0"/>
      <w:marBottom w:val="0"/>
      <w:divBdr>
        <w:top w:val="none" w:sz="0" w:space="0" w:color="auto"/>
        <w:left w:val="none" w:sz="0" w:space="0" w:color="auto"/>
        <w:bottom w:val="none" w:sz="0" w:space="0" w:color="auto"/>
        <w:right w:val="none" w:sz="0" w:space="0" w:color="auto"/>
      </w:divBdr>
    </w:div>
    <w:div w:id="1860658295">
      <w:bodyDiv w:val="1"/>
      <w:marLeft w:val="0"/>
      <w:marRight w:val="0"/>
      <w:marTop w:val="0"/>
      <w:marBottom w:val="0"/>
      <w:divBdr>
        <w:top w:val="none" w:sz="0" w:space="0" w:color="auto"/>
        <w:left w:val="none" w:sz="0" w:space="0" w:color="auto"/>
        <w:bottom w:val="none" w:sz="0" w:space="0" w:color="auto"/>
        <w:right w:val="none" w:sz="0" w:space="0" w:color="auto"/>
      </w:divBdr>
    </w:div>
    <w:div w:id="1867135900">
      <w:bodyDiv w:val="1"/>
      <w:marLeft w:val="0"/>
      <w:marRight w:val="0"/>
      <w:marTop w:val="0"/>
      <w:marBottom w:val="0"/>
      <w:divBdr>
        <w:top w:val="none" w:sz="0" w:space="0" w:color="auto"/>
        <w:left w:val="none" w:sz="0" w:space="0" w:color="auto"/>
        <w:bottom w:val="none" w:sz="0" w:space="0" w:color="auto"/>
        <w:right w:val="none" w:sz="0" w:space="0" w:color="auto"/>
      </w:divBdr>
    </w:div>
    <w:div w:id="1896040861">
      <w:bodyDiv w:val="1"/>
      <w:marLeft w:val="0"/>
      <w:marRight w:val="0"/>
      <w:marTop w:val="0"/>
      <w:marBottom w:val="0"/>
      <w:divBdr>
        <w:top w:val="none" w:sz="0" w:space="0" w:color="auto"/>
        <w:left w:val="none" w:sz="0" w:space="0" w:color="auto"/>
        <w:bottom w:val="none" w:sz="0" w:space="0" w:color="auto"/>
        <w:right w:val="none" w:sz="0" w:space="0" w:color="auto"/>
      </w:divBdr>
    </w:div>
    <w:div w:id="1933968402">
      <w:bodyDiv w:val="1"/>
      <w:marLeft w:val="0"/>
      <w:marRight w:val="0"/>
      <w:marTop w:val="0"/>
      <w:marBottom w:val="0"/>
      <w:divBdr>
        <w:top w:val="none" w:sz="0" w:space="0" w:color="auto"/>
        <w:left w:val="none" w:sz="0" w:space="0" w:color="auto"/>
        <w:bottom w:val="none" w:sz="0" w:space="0" w:color="auto"/>
        <w:right w:val="none" w:sz="0" w:space="0" w:color="auto"/>
      </w:divBdr>
    </w:div>
    <w:div w:id="1941065093">
      <w:bodyDiv w:val="1"/>
      <w:marLeft w:val="0"/>
      <w:marRight w:val="0"/>
      <w:marTop w:val="0"/>
      <w:marBottom w:val="0"/>
      <w:divBdr>
        <w:top w:val="none" w:sz="0" w:space="0" w:color="auto"/>
        <w:left w:val="none" w:sz="0" w:space="0" w:color="auto"/>
        <w:bottom w:val="none" w:sz="0" w:space="0" w:color="auto"/>
        <w:right w:val="none" w:sz="0" w:space="0" w:color="auto"/>
      </w:divBdr>
    </w:div>
    <w:div w:id="1947882785">
      <w:bodyDiv w:val="1"/>
      <w:marLeft w:val="0"/>
      <w:marRight w:val="0"/>
      <w:marTop w:val="0"/>
      <w:marBottom w:val="0"/>
      <w:divBdr>
        <w:top w:val="none" w:sz="0" w:space="0" w:color="auto"/>
        <w:left w:val="none" w:sz="0" w:space="0" w:color="auto"/>
        <w:bottom w:val="none" w:sz="0" w:space="0" w:color="auto"/>
        <w:right w:val="none" w:sz="0" w:space="0" w:color="auto"/>
      </w:divBdr>
    </w:div>
    <w:div w:id="1953900316">
      <w:bodyDiv w:val="1"/>
      <w:marLeft w:val="0"/>
      <w:marRight w:val="0"/>
      <w:marTop w:val="0"/>
      <w:marBottom w:val="0"/>
      <w:divBdr>
        <w:top w:val="none" w:sz="0" w:space="0" w:color="auto"/>
        <w:left w:val="none" w:sz="0" w:space="0" w:color="auto"/>
        <w:bottom w:val="none" w:sz="0" w:space="0" w:color="auto"/>
        <w:right w:val="none" w:sz="0" w:space="0" w:color="auto"/>
      </w:divBdr>
    </w:div>
    <w:div w:id="1956130887">
      <w:bodyDiv w:val="1"/>
      <w:marLeft w:val="0"/>
      <w:marRight w:val="0"/>
      <w:marTop w:val="0"/>
      <w:marBottom w:val="0"/>
      <w:divBdr>
        <w:top w:val="none" w:sz="0" w:space="0" w:color="auto"/>
        <w:left w:val="none" w:sz="0" w:space="0" w:color="auto"/>
        <w:bottom w:val="none" w:sz="0" w:space="0" w:color="auto"/>
        <w:right w:val="none" w:sz="0" w:space="0" w:color="auto"/>
      </w:divBdr>
    </w:div>
    <w:div w:id="2027630039">
      <w:bodyDiv w:val="1"/>
      <w:marLeft w:val="0"/>
      <w:marRight w:val="0"/>
      <w:marTop w:val="0"/>
      <w:marBottom w:val="0"/>
      <w:divBdr>
        <w:top w:val="none" w:sz="0" w:space="0" w:color="auto"/>
        <w:left w:val="none" w:sz="0" w:space="0" w:color="auto"/>
        <w:bottom w:val="none" w:sz="0" w:space="0" w:color="auto"/>
        <w:right w:val="none" w:sz="0" w:space="0" w:color="auto"/>
      </w:divBdr>
    </w:div>
    <w:div w:id="2042590901">
      <w:bodyDiv w:val="1"/>
      <w:marLeft w:val="0"/>
      <w:marRight w:val="0"/>
      <w:marTop w:val="0"/>
      <w:marBottom w:val="0"/>
      <w:divBdr>
        <w:top w:val="none" w:sz="0" w:space="0" w:color="auto"/>
        <w:left w:val="none" w:sz="0" w:space="0" w:color="auto"/>
        <w:bottom w:val="none" w:sz="0" w:space="0" w:color="auto"/>
        <w:right w:val="none" w:sz="0" w:space="0" w:color="auto"/>
      </w:divBdr>
    </w:div>
    <w:div w:id="2047362786">
      <w:bodyDiv w:val="1"/>
      <w:marLeft w:val="0"/>
      <w:marRight w:val="0"/>
      <w:marTop w:val="0"/>
      <w:marBottom w:val="0"/>
      <w:divBdr>
        <w:top w:val="none" w:sz="0" w:space="0" w:color="auto"/>
        <w:left w:val="none" w:sz="0" w:space="0" w:color="auto"/>
        <w:bottom w:val="none" w:sz="0" w:space="0" w:color="auto"/>
        <w:right w:val="none" w:sz="0" w:space="0" w:color="auto"/>
      </w:divBdr>
    </w:div>
    <w:div w:id="2063213048">
      <w:bodyDiv w:val="1"/>
      <w:marLeft w:val="0"/>
      <w:marRight w:val="0"/>
      <w:marTop w:val="0"/>
      <w:marBottom w:val="0"/>
      <w:divBdr>
        <w:top w:val="none" w:sz="0" w:space="0" w:color="auto"/>
        <w:left w:val="none" w:sz="0" w:space="0" w:color="auto"/>
        <w:bottom w:val="none" w:sz="0" w:space="0" w:color="auto"/>
        <w:right w:val="none" w:sz="0" w:space="0" w:color="auto"/>
      </w:divBdr>
    </w:div>
    <w:div w:id="2080328508">
      <w:bodyDiv w:val="1"/>
      <w:marLeft w:val="0"/>
      <w:marRight w:val="0"/>
      <w:marTop w:val="0"/>
      <w:marBottom w:val="0"/>
      <w:divBdr>
        <w:top w:val="none" w:sz="0" w:space="0" w:color="auto"/>
        <w:left w:val="none" w:sz="0" w:space="0" w:color="auto"/>
        <w:bottom w:val="none" w:sz="0" w:space="0" w:color="auto"/>
        <w:right w:val="none" w:sz="0" w:space="0" w:color="auto"/>
      </w:divBdr>
    </w:div>
    <w:div w:id="2081440410">
      <w:bodyDiv w:val="1"/>
      <w:marLeft w:val="0"/>
      <w:marRight w:val="0"/>
      <w:marTop w:val="0"/>
      <w:marBottom w:val="0"/>
      <w:divBdr>
        <w:top w:val="none" w:sz="0" w:space="0" w:color="auto"/>
        <w:left w:val="none" w:sz="0" w:space="0" w:color="auto"/>
        <w:bottom w:val="none" w:sz="0" w:space="0" w:color="auto"/>
        <w:right w:val="none" w:sz="0" w:space="0" w:color="auto"/>
      </w:divBdr>
    </w:div>
    <w:div w:id="2089307200">
      <w:bodyDiv w:val="1"/>
      <w:marLeft w:val="0"/>
      <w:marRight w:val="0"/>
      <w:marTop w:val="0"/>
      <w:marBottom w:val="0"/>
      <w:divBdr>
        <w:top w:val="none" w:sz="0" w:space="0" w:color="auto"/>
        <w:left w:val="none" w:sz="0" w:space="0" w:color="auto"/>
        <w:bottom w:val="none" w:sz="0" w:space="0" w:color="auto"/>
        <w:right w:val="none" w:sz="0" w:space="0" w:color="auto"/>
      </w:divBdr>
    </w:div>
    <w:div w:id="2100713222">
      <w:bodyDiv w:val="1"/>
      <w:marLeft w:val="0"/>
      <w:marRight w:val="0"/>
      <w:marTop w:val="0"/>
      <w:marBottom w:val="0"/>
      <w:divBdr>
        <w:top w:val="none" w:sz="0" w:space="0" w:color="auto"/>
        <w:left w:val="none" w:sz="0" w:space="0" w:color="auto"/>
        <w:bottom w:val="none" w:sz="0" w:space="0" w:color="auto"/>
        <w:right w:val="none" w:sz="0" w:space="0" w:color="auto"/>
      </w:divBdr>
    </w:div>
    <w:div w:id="2105026382">
      <w:bodyDiv w:val="1"/>
      <w:marLeft w:val="0"/>
      <w:marRight w:val="0"/>
      <w:marTop w:val="0"/>
      <w:marBottom w:val="0"/>
      <w:divBdr>
        <w:top w:val="none" w:sz="0" w:space="0" w:color="auto"/>
        <w:left w:val="none" w:sz="0" w:space="0" w:color="auto"/>
        <w:bottom w:val="none" w:sz="0" w:space="0" w:color="auto"/>
        <w:right w:val="none" w:sz="0" w:space="0" w:color="auto"/>
      </w:divBdr>
    </w:div>
    <w:div w:id="2110350248">
      <w:bodyDiv w:val="1"/>
      <w:marLeft w:val="0"/>
      <w:marRight w:val="0"/>
      <w:marTop w:val="0"/>
      <w:marBottom w:val="0"/>
      <w:divBdr>
        <w:top w:val="none" w:sz="0" w:space="0" w:color="auto"/>
        <w:left w:val="none" w:sz="0" w:space="0" w:color="auto"/>
        <w:bottom w:val="none" w:sz="0" w:space="0" w:color="auto"/>
        <w:right w:val="none" w:sz="0" w:space="0" w:color="auto"/>
      </w:divBdr>
    </w:div>
    <w:div w:id="2130775948">
      <w:bodyDiv w:val="1"/>
      <w:marLeft w:val="0"/>
      <w:marRight w:val="0"/>
      <w:marTop w:val="0"/>
      <w:marBottom w:val="0"/>
      <w:divBdr>
        <w:top w:val="none" w:sz="0" w:space="0" w:color="auto"/>
        <w:left w:val="none" w:sz="0" w:space="0" w:color="auto"/>
        <w:bottom w:val="none" w:sz="0" w:space="0" w:color="auto"/>
        <w:right w:val="none" w:sz="0" w:space="0" w:color="auto"/>
      </w:divBdr>
    </w:div>
    <w:div w:id="2134513965">
      <w:bodyDiv w:val="1"/>
      <w:marLeft w:val="0"/>
      <w:marRight w:val="0"/>
      <w:marTop w:val="0"/>
      <w:marBottom w:val="0"/>
      <w:divBdr>
        <w:top w:val="none" w:sz="0" w:space="0" w:color="auto"/>
        <w:left w:val="none" w:sz="0" w:space="0" w:color="auto"/>
        <w:bottom w:val="none" w:sz="0" w:space="0" w:color="auto"/>
        <w:right w:val="none" w:sz="0" w:space="0" w:color="auto"/>
      </w:divBdr>
    </w:div>
    <w:div w:id="2136093315">
      <w:bodyDiv w:val="1"/>
      <w:marLeft w:val="0"/>
      <w:marRight w:val="0"/>
      <w:marTop w:val="0"/>
      <w:marBottom w:val="0"/>
      <w:divBdr>
        <w:top w:val="none" w:sz="0" w:space="0" w:color="auto"/>
        <w:left w:val="none" w:sz="0" w:space="0" w:color="auto"/>
        <w:bottom w:val="none" w:sz="0" w:space="0" w:color="auto"/>
        <w:right w:val="none" w:sz="0" w:space="0" w:color="auto"/>
      </w:divBdr>
    </w:div>
    <w:div w:id="2136751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rightoncollaboration.org" TargetMode="Externa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yperlink" Target="https://www.fda.gov/media/152544/downloa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hyperlink" Target="https://brightoncollaboration.us/bravato/" TargetMode="External"/><Relationship Id="rId23" Type="http://schemas.openxmlformats.org/officeDocument/2006/relationships/hyperlink" Target="about:blank" TargetMode="External"/><Relationship Id="rId10" Type="http://schemas.microsoft.com/office/2011/relationships/commentsExtended" Target="commentsExtended.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brightoncollaboration.us/v3swg/" TargetMode="External"/><Relationship Id="rId22" Type="http://schemas.openxmlformats.org/officeDocument/2006/relationships/hyperlink" Target="about:blan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Bon021</b:Tag>
    <b:SourceType>JournalArticle</b:SourceType>
    <b:Guid>{F136AA98-93E4-473A-9CEF-88527E7E73F3}</b:Guid>
    <b:Author>
      <b:Author>
        <b:NameList>
          <b:Person>
            <b:Last>Bonhoeffer J</b:Last>
            <b:First>Kohl</b:First>
            <b:Middle>K, Chen R, Duclos P, Heijbel H, Heininger U, Jefferson T, Loupi E.</b:Middle>
          </b:Person>
        </b:NameList>
      </b:Author>
    </b:Author>
    <b:Title>The Brighton Collaboration: addressing the need for standardized case definitions of adverse events following immunization (AEFI).</b:Title>
    <b:JournalName>Vaccine</b:JournalName>
    <b:Year>2002</b:Year>
    <b:Pages>298-302</b:Pages>
    <b:Volume>21</b:Volume>
    <b:Issue>3-4</b:Issue>
    <b:DOI>10.1016/s0264-410x(02)00449-8</b:DOI>
    <b:RefOrder>1</b:RefOrder>
  </b:Source>
  <b:Source>
    <b:Tag>Koc20</b:Tag>
    <b:SourceType>JournalArticle</b:SourceType>
    <b:Guid>{0B659DBB-383A-469E-9C8F-C81C1C8468E1}</b:Guid>
    <b:Author>
      <b:Author>
        <b:NameList>
          <b:Person>
            <b:Last>Kochhar S</b:Last>
            <b:First>Kim</b:First>
            <b:Middle>D, Excler JL, Condit RC, Robertson JS, Drew S, Whelan M, Wood D, Fast PE, Gurwith M, Klug B, Khuri-Bulos N, Smith ER, Chen RT</b:Middle>
          </b:Person>
        </b:NameList>
      </b:Author>
    </b:Author>
    <b:Title>Brighton Collaboration Viral Vector Vaccines Safety Working Group (V3SWG). The Brighton Collaboration standardized template for collection of key information for benefit-risk assessment of protein vaccines</b:Title>
    <b:JournalName>Vaccine</b:JournalName>
    <b:Year>2020</b:Year>
    <b:Pages>5734-5739</b:Pages>
    <b:Volume>38</b:Volume>
    <b:Issue>35</b:Issue>
    <b:DOI>10.1016/j.vaccine.2020.06.044</b:DOI>
    <b:RefOrder>2</b:RefOrder>
  </b:Source>
  <b:Source>
    <b:Tag>Koc201</b:Tag>
    <b:SourceType>JournalArticle</b:SourceType>
    <b:Guid>{B102F715-E299-41BE-8FCD-A119C6345697}</b:Guid>
    <b:Author>
      <b:Author>
        <b:NameList>
          <b:Person>
            <b:Last>Kochhar S</b:Last>
            <b:First>Excler</b:First>
            <b:Middle>JL, Kim D, Robertson JS, Fast PE, Condit RC, Drew S, Wood D, Gurwith M, Klug B, Whelan M, Khuri-Bulos N, Mallett Moore T, Smith ER, Chen RT</b:Middle>
          </b:Person>
        </b:NameList>
      </b:Author>
    </b:Author>
    <b:Title>The Brighton Collaboration standardized template for collection of key information for benefit-risk assessment of inactivated viral vaccines</b:Title>
    <b:JournalName>Vaccine</b:JournalName>
    <b:Year>2020</b:Year>
    <b:Pages>6184-618</b:Pages>
    <b:Volume>38</b:Volume>
    <b:Issue>39</b:Issue>
    <b:DOI>10.1016/j.vaccine.2020.07.028</b:DOI>
    <b:RefOrder>3</b:RefOrder>
  </b:Source>
  <b:Source>
    <b:Tag>Con20</b:Tag>
    <b:SourceType>JournalArticle</b:SourceType>
    <b:Guid>{246A073A-5C30-4FCB-B495-DA51B8B9951D}</b:Guid>
    <b:Author>
      <b:Author>
        <b:NameList>
          <b:Person>
            <b:Last>Condit RC</b:Last>
            <b:First>Kim</b:First>
            <b:Middle>D, Robertson JS, Excler JL, Gurwith M, Monath TP, Pavlakis G, Fast PE, Smith J, Smith ER, Chen RT, Kochhar S</b:Middle>
          </b:Person>
        </b:NameList>
      </b:Author>
    </b:Author>
    <b:Title>The Brighton Collaboration standardized template for collection of key information for benefit-risk assessment of viral vector vaccines</b:Title>
    <b:JournalName>Vaccine</b:JournalName>
    <b:Year>2020</b:Year>
    <b:Pages>7708-7715</b:Pages>
    <b:Volume>38</b:Volume>
    <b:Issue>39</b:Issue>
    <b:DOI>0.1016/j.vaccine.2020.08.009</b:DOI>
    <b:RefOrder>4</b:RefOrder>
  </b:Source>
  <b:Source>
    <b:Tag>Kim20</b:Tag>
    <b:SourceType>JournalArticle</b:SourceType>
    <b:Guid>{05CA140F-9787-49F9-A8A7-C32326BC2F1D}</b:Guid>
    <b:Author>
      <b:Author>
        <b:NameList>
          <b:Person>
            <b:Last>Kim D</b:Last>
            <b:First>Robertson</b:First>
            <b:Middle>JS, Excler JL, Condit RC, Fast PE, Gurwith M, Pavlakis G, Monath TP, Smith J, Wood D, Smith ER, Chen RT, Kochhar S</b:Middle>
          </b:Person>
        </b:NameList>
      </b:Author>
    </b:Author>
    <b:Title>The Brighton Collaboration standardized template for collection of key information for benefit-risk assessment of nucleic acid (RNA and DNA) vaccines</b:Title>
    <b:JournalName>Vaccine</b:JournalName>
    <b:Year>2020</b:Year>
    <b:Pages>5556-5561</b:Pages>
    <b:Volume>38</b:Volume>
    <b:Issue>34</b:Issue>
    <b:DOI>10.1016/j.vaccine.2020.06.017</b:DOI>
    <b:RefOrder>5</b:RefOrder>
  </b:Source>
  <b:Source>
    <b:Tag>Gur20</b:Tag>
    <b:SourceType>JournalArticle</b:SourceType>
    <b:Guid>{EAE69E79-6AC5-4616-8AAB-3EBB76880AF2}</b:Guid>
    <b:Author>
      <b:Author>
        <b:NameList>
          <b:Person>
            <b:Last>Gurwith M</b:Last>
            <b:First>Condit</b:First>
            <b:Middle>RC, Excler JL, Robertson JS, Kim D, Fast PE, Drew S, Wood D, Klug B, Whelan M, Mallett Moore T, Khuri-Bulos N, Smith ER, Chen RT, Kochhar S</b:Middle>
          </b:Person>
        </b:NameList>
      </b:Author>
    </b:Author>
    <b:Title>Brighton Collaboration Viral Vector Vaccines Safety Working Group (V3SWG) standardized template for collection of key information for benefit-risk assessment of live-attenuated viral vaccines</b:Title>
    <b:JournalName>Vaccine</b:JournalName>
    <b:Year>2020</b:Year>
    <b:Pages>7702-7707</b:Pages>
    <b:Volume>38</b:Volume>
    <b:Issue>49</b:Issue>
    <b:DOI>10.1016/j.vaccine.2020.09.042</b:DOI>
    <b:RefOrder>6</b:RefOrder>
  </b:Source>
  <b:Source>
    <b:Tag>FDA22</b:Tag>
    <b:SourceType>DocumentFromInternetSite</b:SourceType>
    <b:Guid>{4D7844A0-D346-49A9-AF5E-B91C23314231}</b:Guid>
    <b:Title>Patient-Focused Drug Development Glossary</b:Title>
    <b:YearAccessed>2022</b:YearAccessed>
    <b:MonthAccessed>September</b:MonthAccessed>
    <b:DayAccessed>22</b:DayAccessed>
    <b:URL>https://www.fda.gov/drugs/development-approval-process-drugs/patient-focused-drug-development-glossary</b:URL>
    <b:Author>
      <b:Author>
        <b:NameList>
          <b:Person>
            <b:Last>FDA</b:Last>
          </b:Person>
        </b:NameList>
      </b:Author>
    </b:Author>
    <b:RefOrder>7</b:RefOrder>
  </b:Source>
  <b:Source>
    <b:Tag>Pig15</b:Tag>
    <b:SourceType>JournalArticle</b:SourceType>
    <b:Guid>{91CE610A-A535-4866-9EEB-EB5884B42142}</b:Guid>
    <b:Title>Structured Frameworks to Increase the Transparency of the Assessment of Benefits and Risks of Medicines: Current Status and Possible Future Directions</b:Title>
    <b:Year>2015</b:Year>
    <b:Author>
      <b:Author>
        <b:NameList>
          <b:Person>
            <b:Last>Pignatti F</b:Last>
            <b:First>Ashby</b:First>
            <b:Middle>D, Brass EP, Eichler HG, Frey P, Hillege HL</b:Middle>
          </b:Person>
        </b:NameList>
      </b:Author>
    </b:Author>
    <b:JournalName>Clin Pharmacol Ther</b:JournalName>
    <b:Pages>522-33</b:Pages>
    <b:Volume>98</b:Volume>
    <b:Issue>5</b:Issue>
    <b:RefOrder>8</b:RefOrder>
  </b:Source>
  <b:Source>
    <b:Tag>Cop11</b:Tag>
    <b:SourceType>JournalArticle</b:SourceType>
    <b:Guid>{8ACE3830-FAC4-494D-8ADD-7B31ADF44140}</b:Guid>
    <b:Author>
      <b:Author>
        <b:NameList>
          <b:Person>
            <b:Last>Coplan PM</b:Last>
            <b:First>Noel</b:First>
            <b:Middle>RA, Levitan BS, Ferguson J, Mussen F.</b:Middle>
          </b:Person>
        </b:NameList>
      </b:Author>
    </b:Author>
    <b:Title>Development of a framework for enhancing the transparency, reproducibility and communication of the benefit-risk balance of medicines</b:Title>
    <b:JournalName>Clin Pharmacol Ther</b:JournalName>
    <b:Year>2011</b:Year>
    <b:Pages>312-5</b:Pages>
    <b:Volume>89</b:Volume>
    <b:Issue>2</b:Issue>
    <b:RefOrder>9</b:RefOrder>
  </b:Source>
  <b:Source>
    <b:Tag>Lev11</b:Tag>
    <b:SourceType>JournalArticle</b:SourceType>
    <b:Guid>{C54F730A-35AF-4E80-B0D1-8F4C5CB3C265}</b:Guid>
    <b:Author>
      <b:Author>
        <b:NameList>
          <b:Person>
            <b:Last>Levitan BS</b:Last>
            <b:First>Andrews</b:First>
            <b:Middle>EB, Gilsenan A, Ferguson J, Noel RA, Coplan PM</b:Middle>
          </b:Person>
        </b:NameList>
      </b:Author>
    </b:Author>
    <b:Title>Application of the BRAT Framework to Case Studies: Observations and Insights</b:Title>
    <b:JournalName>Clin Pharmacol Ther</b:JournalName>
    <b:Year>2011</b:Year>
    <b:Pages>2017-24</b:Pages>
    <b:Volume>89</b:Volume>
    <b:Issue>2</b:Issue>
    <b:RefOrder>10</b:RefOrder>
  </b:Source>
  <b:Source>
    <b:Tag>FDA21</b:Tag>
    <b:SourceType>DocumentFromInternetSite</b:SourceType>
    <b:Guid>{11C6D412-7908-475B-97E5-CAB58C4D38B0}</b:Guid>
    <b:Author>
      <b:Author>
        <b:NameList>
          <b:Person>
            <b:Last>FDA</b:Last>
          </b:Person>
        </b:NameList>
      </b:Author>
    </b:Author>
    <b:Title>Benefit-Risk Assessment for New Drug and Biological Products: Draft</b:Title>
    <b:Year>2021</b:Year>
    <b:Month>October</b:Month>
    <b:YearAccessed>2022</b:YearAccessed>
    <b:MonthAccessed>September</b:MonthAccessed>
    <b:DayAccessed>22</b:DayAccessed>
    <b:URL>https://www.fda.gov/regulatory-information/search-fda-guidance-documents/benefit-risk-assessment-new-drug-and-biological-products</b:URL>
    <b:RefOrder>11</b:RefOrder>
  </b:Source>
  <b:Source>
    <b:Tag>Eur22</b:Tag>
    <b:SourceType>DocumentFromInternetSite</b:SourceType>
    <b:Guid>{2D714E1D-5FD6-416B-B483-4003C0B81344}</b:Guid>
    <b:Author>
      <b:Author>
        <b:NameList>
          <b:Person>
            <b:Last>Agency</b:Last>
            <b:First>European</b:First>
            <b:Middle>Medicines</b:Middle>
          </b:Person>
        </b:NameList>
      </b:Author>
    </b:Author>
    <b:Title>Benefit-risk methodology</b:Title>
    <b:YearAccessed>2022</b:YearAccessed>
    <b:MonthAccessed>September</b:MonthAccessed>
    <b:DayAccessed>27</b:DayAccessed>
    <b:URL>https://www.ema.europa.eu/en/about-us/what-we-do/regulatory-science-research/benefit-risk-methodology#section</b:URL>
    <b:RefOrder>13</b:RefOrder>
  </b:Source>
  <b:Source>
    <b:Tag>IMI22</b:Tag>
    <b:SourceType>DocumentFromInternetSite</b:SourceType>
    <b:Guid>{1457B852-3DDE-42A7-BD7F-7AC2AD6D0F40}</b:Guid>
    <b:Author>
      <b:Author>
        <b:NameList>
          <b:Person>
            <b:Last>IMI</b:Last>
          </b:Person>
        </b:NameList>
      </b:Author>
    </b:Author>
    <b:Title>PREFER Recommendations</b:Title>
    <b:YearAccessed>2022</b:YearAccessed>
    <b:MonthAccessed>September</b:MonthAccessed>
    <b:DayAccessed>28</b:DayAccessed>
    <b:URL>https://www.imi-prefer.eu/recommendations/</b:URL>
    <b:RefOrder>12</b:RefOrder>
  </b:Source>
  <b:Source>
    <b:Tag>Med15</b:Tag>
    <b:SourceType>DocumentFromInternetSite</b:SourceType>
    <b:Guid>{F8E7310E-92FA-4594-91B8-7D4C0EDB8B74}</b:Guid>
    <b:Author>
      <b:Author>
        <b:NameList>
          <b:Person>
            <b:Last>Consortium</b:Last>
            <b:First>Medical</b:First>
            <b:Middle>Device Innovation</b:Middle>
          </b:Person>
        </b:NameList>
      </b:Author>
    </b:Author>
    <b:Title>A framework for incorporating information on patient preferences regarding benefit and risk intro regulatory assessments of new medical technology: Medical Device Innovation Consortium</b:Title>
    <b:Year>2015</b:Year>
    <b:YearAccessed>2022</b:YearAccessed>
    <b:MonthAccessed>September</b:MonthAccessed>
    <b:DayAccessed>28</b:DayAccessed>
    <b:URL>https://mdic.org/wp-content/uploads/2015/05/MDIC_PCBR_Framework_Web.pdf</b:URL>
    <b:RefOrder>14</b:RefOrder>
  </b:Source>
  <b:Source>
    <b:Tag>Eur221</b:Tag>
    <b:SourceType>DocumentFromInternetSite</b:SourceType>
    <b:Guid>{95EE556D-E62D-4176-996E-CFD41A2C4BB5}</b:Guid>
    <b:Author>
      <b:Author>
        <b:NameList>
          <b:Person>
            <b:Last>Agency</b:Last>
            <b:First>European</b:First>
            <b:Middle>Medicines</b:Middle>
          </b:Person>
        </b:NameList>
      </b:Author>
    </b:Author>
    <b:Title>Guidance document on the content of the &lt;Co-&gt; Rapporteur day &lt;60&gt;&lt;80&gt; critical assessment report</b:Title>
    <b:YearAccessed>2022</b:YearAccessed>
    <b:MonthAccessed>September</b:MonthAccessed>
    <b:DayAccessed>28</b:DayAccessed>
    <b:URL>https://www.ema.europa.eu/en/documents/regulatory-procedural-guideline/d80-assessment-report-overview-guidance-rev1017_en.pdf</b:URL>
    <b:RefOrder>15</b:RefOrder>
  </b:Source>
  <b:Source>
    <b:Tag>Arl20</b:Tag>
    <b:SourceType>JournalArticle</b:SourceType>
    <b:Guid>{EE951519-CA22-4D35-8241-3158E7134375}</b:Guid>
    <b:Title>Benefit-Risk Assessment of Vaccines. Part I: A Systematic Review to Identify and Describe Studies About Quantitative Benefit-Risk Models Applied to Vaccines</b:Title>
    <b:Year>2020</b:Year>
    <b:Author>
      <b:Author>
        <b:NameList>
          <b:Person>
            <b:Last>Arlegui H</b:Last>
            <b:First>Bollaerts</b:First>
            <b:Middle>K, Salvo F, Bauchau V, Nachbaur G, Bégaud B, Praet N</b:Middle>
          </b:Person>
        </b:NameList>
      </b:Author>
    </b:Author>
    <b:JournalName>Drug Saf</b:JournalName>
    <b:Pages>1089-1104</b:Pages>
    <b:Volume>43</b:Volume>
    <b:Issue>11</b:Issue>
    <b:DOI>10.1007/s40264-020-00984-7</b:DOI>
    <b:RefOrder>16</b:RefOrder>
  </b:Source>
  <b:Source>
    <b:Tag>Arl201</b:Tag>
    <b:SourceType>JournalArticle</b:SourceType>
    <b:Guid>{89F156B1-A441-43BE-AE62-BF8463828125}</b:Guid>
    <b:Author>
      <b:Author>
        <b:NameList>
          <b:Person>
            <b:Last>Arlegui H</b:Last>
            <b:First>Bollaerts</b:First>
            <b:Middle>K, Bauchau V, Nachbaur G, Bégaud B, Praet N</b:Middle>
          </b:Person>
        </b:NameList>
      </b:Author>
    </b:Author>
    <b:Title>Benefit-Risk Assessment of Vaccines. Part II: Proposal Towards Consolidated Standards of Reporting Quantitative Benefit-Risk Models Applied to Vaccines (BRIVAC)</b:Title>
    <b:JournalName>Drug Saf</b:JournalName>
    <b:Year>2020</b:Year>
    <b:Pages>1105-1120</b:Pages>
    <b:Volume>43</b:Volume>
    <b:Issue>11</b:Issue>
    <b:DOI>10.1007/s40264-020-00982-9</b:DOI>
    <b:RefOrder>17</b:RefOrder>
  </b:Source>
  <b:Source>
    <b:Tag>CDC22</b:Tag>
    <b:SourceType>DocumentFromInternetSite</b:SourceType>
    <b:Guid>{02706BB0-65AC-4683-92C6-4AD32C35269D}</b:Guid>
    <b:Title>COVID-19 ACIP Vaccine Recommendations</b:Title>
    <b:Author>
      <b:Author>
        <b:NameList>
          <b:Person>
            <b:Last>CDC</b:Last>
          </b:Person>
        </b:NameList>
      </b:Author>
    </b:Author>
    <b:YearAccessed>2022</b:YearAccessed>
    <b:MonthAccessed>July</b:MonthAccessed>
    <b:DayAccessed>29</b:DayAccessed>
    <b:URL>https://www.cdc.gov/vaccines/hcp/acip-recs/vacc-specific/covid-19.html</b:URL>
    <b:RefOrder>18</b:RefOrder>
  </b:Source>
  <b:Source>
    <b:Tag>FDA1</b:Tag>
    <b:SourceType>DocumentFromInternetSite</b:SourceType>
    <b:Guid>{9ED93712-7598-4547-A2ED-B9C3D58A0E38}</b:Guid>
    <b:Author>
      <b:Author>
        <b:NameList>
          <b:Person>
            <b:Last>FDA</b:Last>
          </b:Person>
        </b:NameList>
      </b:Author>
    </b:Author>
    <b:Title>Benefit-Risk Assessment for New Drug and Biological Products, Guidance for Industry: Draft</b:Title>
    <b:YearAccessed>1</b:YearAccessed>
    <b:MonthAccessed>December</b:MonthAccessed>
    <b:DayAccessed>2022</b:DayAccessed>
    <b:URL>https://www.fda.gov/regulatory-information/search-fda-guidance-documents/benefit-risk-assessment-new-drug-and-biological-products </b:URL>
    <b:RefOrder>19</b:RefOrder>
  </b:Source>
  <b:Source>
    <b:Tag>VAE22</b:Tag>
    <b:SourceType>DocumentFromInternetSite</b:SourceType>
    <b:Guid>{6EE718D0-C7F5-4996-992D-63C14851889D}</b:Guid>
    <b:Author>
      <b:Author>
        <b:NameList>
          <b:Person>
            <b:Last>VAERS</b:Last>
          </b:Person>
        </b:NameList>
      </b:Author>
    </b:Author>
    <b:Title>VAERS Frequently Asked Questions</b:Title>
    <b:YearAccessed>2022</b:YearAccessed>
    <b:MonthAccessed>December</b:MonthAccessed>
    <b:DayAccessed>1</b:DayAccessed>
    <b:URL>https://vaers.hhs.gov/faq.html</b:URL>
    <b:RefOrder>20</b:RefOrder>
  </b:Source>
  <b:Source>
    <b:Tag>EMA22</b:Tag>
    <b:SourceType>DocumentFromInternetSite</b:SourceType>
    <b:Guid>{3B3A4EAD-1E4B-4A52-BFDE-2FC88F63C7AC}</b:Guid>
    <b:Author>
      <b:Author>
        <b:NameList>
          <b:Person>
            <b:Last>EMA</b:Last>
          </b:Person>
        </b:NameList>
      </b:Author>
    </b:Author>
    <b:Title>M4E(R2) - Common technical document for the registration of pharmaceuticals for human use – Efficacy</b:Title>
    <b:YearAccessed>2022</b:YearAccessed>
    <b:MonthAccessed>December </b:MonthAccessed>
    <b:DayAccessed>1</b:DayAccessed>
    <b:URL>https://www.ema.europa.eu/en/documents/scientific-guideline/ich-m4e-r2-common-technical-document-registration-pharmaceuticals-human-use-efficacy-step-5_en.pdf</b:URL>
    <b:RefOrder>21</b:RefOrder>
  </b:Source>
  <b:Source>
    <b:Tag>PrO22</b:Tag>
    <b:SourceType>DocumentFromInternetSite</b:SourceType>
    <b:Guid>{1AF0FFFB-956E-4BCE-BA4F-CA6D9683214D}</b:Guid>
    <b:Author>
      <b:Author>
        <b:NameList>
          <b:Person>
            <b:Last>PrOACT-URL</b:Last>
          </b:Person>
        </b:NameList>
      </b:Author>
    </b:Author>
    <b:Title>The Pharmacoepidemiological Research on Outcomes of Therapeutics by a European Consortium (PROTECT)</b:Title>
    <b:YearAccessed>2022</b:YearAccessed>
    <b:MonthAccessed>December </b:MonthAccessed>
    <b:DayAccessed>1</b:DayAccessed>
    <b:URL>https://protectbenefitrisk.eu/PrOACT-URL.html</b:URL>
    <b:RefOrder>22</b:RefOrder>
  </b:Source>
  <b:Source>
    <b:Tag>CDC221</b:Tag>
    <b:SourceType>DocumentFromInternetSite</b:SourceType>
    <b:Guid>{668B3C19-C615-4127-A5BA-3EB13D3D1E5B}</b:Guid>
    <b:Author>
      <b:Author>
        <b:NameList>
          <b:Person>
            <b:Last>CDC</b:Last>
          </b:Person>
        </b:NameList>
      </b:Author>
    </b:Author>
    <b:Title>Population-Level Risk-Benefit Analysis</b:Title>
    <b:YearAccessed>2022</b:YearAccessed>
    <b:MonthAccessed>December </b:MonthAccessed>
    <b:DayAccessed>1</b:DayAccessed>
    <b:URL>https://www.cdc.gov/vaccines/covid-19/info-by-product/janssen/risk-benefit-analysis.html</b:URL>
    <b:RefOrder>23</b:RefOrder>
  </b:Source>
  <b:Source>
    <b:Tag>CDC222</b:Tag>
    <b:SourceType>DocumentFromInternetSite</b:SourceType>
    <b:Guid>{9514211F-BC01-472C-89D8-E6827EC86312}</b:Guid>
    <b:Author>
      <b:Author>
        <b:NameList>
          <b:Person>
            <b:Last>CDC</b:Last>
          </b:Person>
        </b:NameList>
      </b:Author>
    </b:Author>
    <b:Title>Population-Level Risk-Benefit Analysis</b:Title>
    <b:YearAccessed>2022</b:YearAccessed>
    <b:MonthAccessed>December </b:MonthAccessed>
    <b:DayAccessed>1</b:DayAccessed>
    <b:URL>https://www.cdc.gov/vaccines/covid-19/info-by-product/janssen/risk-benefit-analysis.html</b:URL>
    <b:RefOrder>24</b:RefOrder>
  </b:Source>
  <b:Source>
    <b:Tag>CIO22</b:Tag>
    <b:SourceType>DocumentFromInternetSite</b:SourceType>
    <b:Guid>{1A678BF5-B7D9-418B-AFC8-215F61391554}</b:Guid>
    <b:Author>
      <b:Author>
        <b:NameList>
          <b:Person>
            <b:Last>CIOMS</b:Last>
          </b:Person>
        </b:NameList>
      </b:Author>
    </b:Author>
    <b:Title>Council for International Organizations of Medical Sciences (CIOMS) Guide to Active Vaccine Safety – Geneva 2017</b:Title>
    <b:YearAccessed>2022</b:YearAccessed>
    <b:MonthAccessed>December </b:MonthAccessed>
    <b:DayAccessed>6</b:DayAccessed>
    <b:URL>https://cioms.ch/wp-content/uploads/2020/04/240WEB-CIOMS-Guide-AVSS-20170202-protected.pdf</b:URL>
    <b:RefOrder>26</b:RefOrder>
  </b:Source>
  <b:Source>
    <b:Tag>Hug16</b:Tag>
    <b:SourceType>JournalArticle</b:SourceType>
    <b:Guid>{6F9EE095-0105-4DF1-9114-CB2BC46F7AA3}</b:Guid>
    <b:Title>Recommendations for Benefit Risk Assessment Methodologies and Visual Representations</b:Title>
    <b:Year>2016</b:Year>
    <b:Author>
      <b:Author>
        <b:NameList>
          <b:Person>
            <b:Last>Hughes</b:Last>
            <b:First>D,</b:First>
            <b:Middle>E Waddingham, S Mt-Isa, A Goginsky, E Chan, GF Downey, CE Hallgreen,KS Hockley, J Juhaeri, A Lieftucht, MA Metcalf, RA Noel, LD Phillips, D Ashby, and A Micaleff</b:Middle>
          </b:Person>
        </b:NameList>
      </b:Author>
    </b:Author>
    <b:JournalName>Pharmacoepidemiol Drug Saf</b:JournalName>
    <b:Pages>251-62</b:Pages>
    <b:Volume>25</b:Volume>
    <b:Issue>3</b:Issue>
    <b:RefOrder>27</b:RefOrder>
  </b:Source>
  <b:Source>
    <b:Tag>FDA221</b:Tag>
    <b:SourceType>DocumentFromInternetSite</b:SourceType>
    <b:Guid>{6D4EF2DE-8219-4179-9AC2-29F9A689AEE2}</b:Guid>
    <b:Author>
      <b:Author>
        <b:NameList>
          <b:Person>
            <b:Last>FDA</b:Last>
          </b:Person>
        </b:NameList>
      </b:Author>
    </b:Author>
    <b:Title>Medical Device Innovation Consortium (MDIC) Patient Centered Benefit‐Risk Project Report: A Framework for Incorporating Information on Patient Preferences Regarding Benefit and Risk into Regulatory Assessments of New Medical Technology Medical Device Inno</b:Title>
    <b:YearAccessed>2022</b:YearAccessed>
    <b:MonthAccessed>December </b:MonthAccessed>
    <b:DayAccessed>6</b:DayAccessed>
    <b:URL>https://www.fda.gov/media/95591/download</b:URL>
    <b:RefOrder>28</b:RefOrder>
  </b:Source>
  <b:Source>
    <b:Tag>BSL11</b:Tag>
    <b:SourceType>JournalArticle</b:SourceType>
    <b:Guid>{839EF013-5BA3-4678-9D19-0D36B7F3DB2B}</b:Guid>
    <b:Title>Application of the BRAT Framework to Case Studies: Observations and Insights</b:Title>
    <b:Year>2011</b:Year>
    <b:Author>
      <b:Author>
        <b:NameList>
          <b:Person>
            <b:Last>B. S. Levitan</b:Last>
            <b:First>E.</b:First>
            <b:Middle>B. Andrews, A. Gilsenan, J. Ferguson, R. A. Noel, P. M. Coplan, et al.</b:Middle>
          </b:Person>
        </b:NameList>
      </b:Author>
    </b:Author>
    <b:JournalName>Clin Pharmacol Ther</b:JournalName>
    <b:Pages>217-24</b:Pages>
    <b:Volume>89</b:Volume>
    <b:Issue>2</b:Issue>
    <b:RefOrder>29</b:RefOrder>
  </b:Source>
  <b:Source>
    <b:Tag>EMA12</b:Tag>
    <b:SourceType>DocumentFromInternetSite</b:SourceType>
    <b:Guid>{916F658A-C412-4B60-8552-8F542D8A8158}</b:Guid>
    <b:Title>Benefit-risk methodology project - Report on risk perception study module</b:Title>
    <b:Year>2012</b:Year>
    <b:Author>
      <b:Author>
        <b:NameList>
          <b:Person>
            <b:Last>EMA</b:Last>
          </b:Person>
        </b:NameList>
      </b:Author>
    </b:Author>
    <b:YearAccessed>2022</b:YearAccessed>
    <b:MonthAccessed>December</b:MonthAccessed>
    <b:DayAccessed>6</b:DayAccessed>
    <b:URL>https://www.ema.europa.eu/en/documents/report/benefit-risk-methodology-project-report-risk-perception-study-module_en.pdf</b:URL>
    <b:RefOrder>30</b:RefOrder>
  </b:Source>
  <b:Source>
    <b:Tag>EMA221</b:Tag>
    <b:SourceType>DocumentFromInternetSite</b:SourceType>
    <b:Guid>{309AA568-40C5-447A-81BD-DF4EA542D509}</b:Guid>
    <b:Author>
      <b:Author>
        <b:NameList>
          <b:Person>
            <b:Last>EMA</b:Last>
          </b:Person>
        </b:NameList>
      </b:Author>
    </b:Author>
    <b:Title>Guideline on good pharmacovigilance practices (GVP) Module V – Risk management systems (Rev 2)</b:Title>
    <b:YearAccessed>2022</b:YearAccessed>
    <b:MonthAccessed>December </b:MonthAccessed>
    <b:DayAccessed>1</b:DayAccessed>
    <b:URL>https://www.ema.europa.eu/en/documents/scientific-guideline/guideline-good-pharmacovigilance-practices-module-v-risk-management-systems-rev-2_en.pdf</b:URL>
    <b:RefOrder>31</b:RefOrder>
  </b:Source>
  <b:Source>
    <b:Tag>CIO21</b:Tag>
    <b:SourceType>DocumentFromInternetSite</b:SourceType>
    <b:Guid>{FA81D5C6-5A28-4F7C-A6BD-B32AB7222D55}</b:Guid>
    <b:Author>
      <b:Author>
        <b:NameList>
          <b:Person>
            <b:Last>CIOMS</b:Last>
          </b:Person>
        </b:NameList>
      </b:Author>
    </b:Author>
    <b:Title>Council for International Organizations of Medical Sciences (CIOMS) Cumulative Pharmacovigilance Glossary Version 1.1</b:Title>
    <b:Year>2021</b:Year>
    <b:Month>June</b:Month>
    <b:Day>3</b:Day>
    <b:YearAccessed>2022</b:YearAccessed>
    <b:MonthAccessed>December</b:MonthAccessed>
    <b:DayAccessed>6</b:DayAccessed>
    <b:URL>https://cioms.ch/wp-content/uploads/2021/03/CIOMS-Cumulative-Glossary_v1.1_3Jun2021.pdf</b:URL>
    <b:RefOrder>25</b:RefOrder>
  </b:Source>
  <b:Source>
    <b:Tag>FDA222</b:Tag>
    <b:SourceType>DocumentFromInternetSite</b:SourceType>
    <b:Guid>{DF4FB497-9B04-4550-8BFB-778C3BB37A19}</b:Guid>
    <b:Author>
      <b:Author>
        <b:NameList>
          <b:Person>
            <b:Last>FDA</b:Last>
          </b:Person>
        </b:NameList>
      </b:Author>
    </b:Author>
    <b:Title>Patient Preference Information – Voluntary Submission, Review in Premarket Approval Applications, Humanitarian Device Exemption Applications, and De Novo Requests, and Inclusion in Decision Summaries and Device Labeling Guidance for Industry, Food and Dru</b:Title>
    <b:YearAccessed>2022</b:YearAccessed>
    <b:MonthAccessed>December</b:MonthAccessed>
    <b:DayAccessed>1</b:DayAccessed>
    <b:URL>https://www.fda.gov/media/92593/download</b:URL>
    <b:RefOrder>32</b:RefOrder>
  </b:Source>
  <b:Source>
    <b:Tag>IMI221</b:Tag>
    <b:SourceType>DocumentFromInternetSite</b:SourceType>
    <b:Guid>{BF4530B2-5B38-45A6-A912-46143DDB5E12}</b:Guid>
    <b:Author>
      <b:Author>
        <b:NameList>
          <b:Person>
            <b:Last>PREFER</b:Last>
            <b:First>IMI</b:First>
          </b:Person>
        </b:NameList>
      </b:Author>
    </b:Author>
    <b:Title>Recommendations on Why, when and how to assess and use patient preferences in medical product decision-making</b:Title>
    <b:YearAccessed>2022</b:YearAccessed>
    <b:MonthAccessed>December</b:MonthAccessed>
    <b:DayAccessed>1</b:DayAccessed>
    <b:URL>https://www.imi-prefer.eu/recommendations/</b:URL>
    <b:RefOrder>33</b:RefOrder>
  </b:Source>
  <b:Source>
    <b:Tag>Web02</b:Tag>
    <b:SourceType>JournalArticle</b:SourceType>
    <b:Guid>{1F2BEF94-6D77-4F18-BBC8-112A0FF8161A}</b:Guid>
    <b:Title>A Domain-specific Risk- attitude Scale: Measuring Risk Perceptions and Risk Behaviors</b:Title>
    <b:Year>2002</b:Year>
    <b:Author>
      <b:Author>
        <b:NameList>
          <b:Person>
            <b:Last>Weber</b:Last>
            <b:First>E.</b:First>
            <b:Middle>U., Blais, A. E., and Betz, N. E.</b:Middle>
          </b:Person>
        </b:NameList>
      </b:Author>
    </b:Author>
    <b:JournalName>Journal of Behavioral Decision Making,</b:JournalName>
    <b:Pages>263–290</b:Pages>
    <b:Volume>15</b:Volume>
    <b:RefOrder>34</b:RefOrder>
  </b:Source>
  <b:Source>
    <b:Tag>FDA18</b:Tag>
    <b:SourceType>DocumentFromInternetSite</b:SourceType>
    <b:Guid>{FBC43D1A-7533-4E4A-979E-75B9B0E4D733}</b:Guid>
    <b:Title>Guidance for Industry - Good Pharmacovigilance Practices and Pharmacoepidemiologic Assessment.  U.S. Department of Health and Human Services Food and Drug Administration Center for Drug Evaluation and Research (CDER) Center for Biologics Evaluation and Re</b:Title>
    <b:Year>2018</b:Year>
    <b:Author>
      <b:Author>
        <b:NameList>
          <b:Person>
            <b:Last>FDA</b:Last>
          </b:Person>
        </b:NameList>
      </b:Author>
    </b:Author>
    <b:YearAccessed>2022</b:YearAccessed>
    <b:MonthAccessed>December</b:MonthAccessed>
    <b:DayAccessed>6</b:DayAccessed>
    <b:URL>https://www.fda.gov/regulatory-information/search-fda-guidance-documents/good-pharmacovigilance-practices-and-pharmacoepidemiologic-assessment</b:URL>
    <b:RefOrder>35</b:RefOrder>
  </b:Source>
  <b:Source>
    <b:Tag>Bol20</b:Tag>
    <b:SourceType>JournalArticle</b:SourceType>
    <b:Guid>{3BB73D8F-E00F-4252-9D5B-92C2B5140FA4}</b:Guid>
    <b:Title>ADVANCE system testing: Benefit-risk analysis of a marketed vaccine using multi-criteria decision analysis and individual-level state transition modelling</b:Title>
    <b:Year>2020</b:Year>
    <b:Author>
      <b:Author>
        <b:NameList>
          <b:Person>
            <b:Last>Bollaerts K</b:Last>
            <b:First>Ledent</b:First>
            <b:Middle>E, de Smedt T, Weibel D, Emborg HD, Danieli G, Duarte-Salles T, Huerta-Alvarez C, Martín-Merino E, Picelli G, Tramontan L, Sturkenboom M, Bauchau V.</b:Middle>
          </b:Person>
        </b:NameList>
      </b:Author>
    </b:Author>
    <b:JournalName>Vaccine</b:JournalName>
    <b:Volume>38</b:Volume>
    <b:RefOrder>36</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iDe3RyZmBp8CBcDFnism3BDNAXIw==">AMUW2mWAyIV864Y9GU5PA3SvTkGf/7lfW4fcM+T7+iSxJAeSuDYt6TfzxnCWbyb1ihwU95QdHiJfNlUz4CueyubrizZUx1SaWvboCDeFFRB/Gm6diPl+cFvXJcxC1Z9AmrgM5srpcgpoO0SehtheeLuj4wdXnAM0VTJw39ZFhBSm9kOli6Mx5X+PmcOcAgPxkJcfeQp9EJpvjuYvgYyzhGsd9CzTb9H10OpBgUnrxo1nB6DIVvdpJOI5e0cD0Bo9hoEn8vXc7ZDIZYmbraG850PeYJGA5cwe6S0I6lS0b+iOiCtQ+791w6PsNrwEj7YjmdqKU+x9jC3nG4cfyULNuW1glGnPropZlmMFLKUhu3GZ8ZGi2quR3rOlQ2bSm0BK6YLvo4YQdlEKvBGrnCXdAIl5xB6cKtesOkfn0R8IOYjbJ+iRuPGdiEvEh0Sj8ECQH/pxP7pdqcOwrr8fzpDoQ+Z97x/Wn3+Zj0Dj1ZTrIiZwQbckUWOUjmZddT8deaVwMV4mkPcCoPEF+oShlPm6l5+q/jJByAuv5XUL/U4O3JO7Gebs5kK0Yz/1x/Vjp13ikrOVbAGnRJGhSbYPoIpmXsVjyx64sapV7va4/GWsVfEwrC8uPRN62y9IsPkTVoiDqhTjYOD70LuT3LrVbDRZxeuQttzzfngfW7Q3o4KyGKnxAITNFi2d/ljFWy+DVhAYkoBFp1iY6J/1YvhQzCM/9Fqd62VpldHTiv2dUq8G2xmY62q9S9Wojq6fyUA2b94Y1inl2JWux/ef/wFWRNojs0iwMhavYjmLzFdCmmoABxln+aeqpf6hKn1dHh7IPbI7XQjBLKTPOnKk6ZuU5CavVWwH7X/ihVFOJ03IeH5gtuEClWBXXZoF55S91R6SJJeNpe7O3YHuxEMtMPPBXpW/SKh+sTnzOFZoXh1QknYGxvOO/adgP2dmLaVDukhsetKXanMsz0GLTU4ZyRdPipeSRKifUN4F8x3c0DHj0iOVZ0Y00zck0W13RKJ0hl87CeeIXeZIctK4HKyu0swn4Tfrvpbytc1RE0A/9UaKfl1+TVN1xGMdM7CV0eZoBnzI7+XyuJqEJqa66ugHukJ1pvAKxH5Z3CBSOnTvn+YKbh5zmFyZr+8UACD2baRmQvGE3Pz9j1Ql/wdy7pCQSuzvYAkuFEI4ArPWlkhka3Z9wG1Kh7g9gngtkVTZs00CDwln+8Hvgfq0YUIehLCyPoBUAqMoYDBEjfJBRvKfsCfBeh9anNHKzHjmqxeIe6czb3QENV3bE4TBnfSa2lydMfJSRjByuc4kq06K/04kJwxIVkxIeaFCkLxDRgzSlfgSAtF4hPwHU0duUslYffhWFeu4rdrnjTDDg32YSahu1SUiqvomQGFUXeN5dE9TdiwpBduJn6bEQI4xJbXMzlKiYQ6P5814uFneCttq+aUkwBoK9K1baUehcmTWOAhWNq+VdZoFN4bc/3qcb/ur8gXOURjb/MJJQ7Mg/jUjwHi4o+irwyn1HhsshxZutxPoSbMYgGbUKrX9dbS52eySojYIDDwAPCrvfuSIwFirc8fhGXBhzdCnLIGrUnbohmT5T24mXwZuTysDDQG9rzE2GbPoamxkeeuRTWr5r26fHZfNFYY9Wkofadu9rI2nTJVPLG1VSjhwQOKkpxhnUMA1vBzup94m5q92Bd7yjned2ucupVUoeM9Z0CF23mpvmTOKxheelqw6zHUiz1fVGHf7OpXJL/Hs6q4+ZVDJwty52tcJIGgF8c6M+y7Tkt0B+djBkLDh6umZm1nYcs25i4gzl9uv8x7dE5juWQTxMWLiNZaBpq0dyq7FUMLzpwp6Y75xTZrMPPT1bdfgW8qxurum3kb0F2pXx9HR1juxIk92RhAUOatAJRs9z3qyy5/DRa54J5WTvsqwcuxB5nNqR7ckpzwnGXqoXrCZGOrdJJ/8urOYw0Rv+sP5NMdTlZgbxIm946yaol1pC0TLCh+mvWMsb7rUIhn365DENb7B5heitqmxwNIQH6nzUVequsDGP+K+laEiVSviU/DoE2CotmtbZvhDw8x9tslUhZjUjKQgB/ZHTLDb801CsEW3UihKI68PHw809oARCCNS8hb08ZBEB6rChu2uTkFQ4kwvdU/pBHxpYOtq1XbcevppsQkq94mBSh8KxglQDEu151l4bq89wlvTx9h+afTTe/i9A1uMxumyBr2myfm2dMYWcfY9hatDO2PHDfOLwBSl55kmkC/0m1m3kosQkjGJYznboKzDLQXT7ZdirXSykWilAAe5wc/I/JB1FA/PWJri4rJL/l67hBUSdqjlVc+2A/a+o4rr8yfcL/VYjkTci7plsUuxfdnSGTi2UKRdiB5l5AIn1e5D1LqKC99JoNEAF5EQv8Fc8TJoEEYvv4vjbenRWL3SSK8+2D+R0QMx08mUZCx6vssXTzkB8+JuQ2i5ex/hNYrfbWG85oMUX54hM/K/kOrhRIAQrnIemSabCRnagogrq2+OwSWzcOZeHJrTGzdEUn8xesE7U0NJgjuCzWD0LhW3LXFpOdvtBE6MksqODs/nXq0eEZ5/YhLk5A/+HDcPRP3yxw3FP5FeDdrvqn86JTKYxxzBlDrHcWXVNDMBKEH637KfqcFTf/gEJgxG6/A19O1uJcZv/UELjpQyeCFD1B+lpOQMnqT96BT44lptddXsOnGClonOU4TFF8OrRiYscgCXFhPnrjHJmXMx3jp7TZjsdA0EQX0WkgxcTwKtAG6oKVhXHfFY/QVs14JwRFWQz4a6AGsjcY/6qzZnGLnUh9Tu8HVqSp13a2cRKck8AcSsUCYbBfyM6WcUi/HwkhoMRbur/YzHj5SH9wrjOISmt4yL69xmgVewXA+IiRDvTkoYpSRmuA+2cft8sYLQUtV47Cz8j3rRrWfqae8Uvv3NPmh7iAbUlOvEcY+TKtuyZ+oKzTKInxry51svndmbC9xdzV7odUq41xJlp0NBRUugTwQkW2MfxsHwlyAr4vIaLW6rtYgUMx4vTCRukv60joS/2NgjjOjlke+kAfVqrqgjr+ULKRAVnS8tH7OnrPvLZ+lmfRaIeN+3L6LKv4ijgrW5md5ylgHk9LxmX5G8BVErIq7fMQpiqNvRMkhEgSQUFt81Q9rNDbWlTDN78+KHSX7dkpJT0eeIsTogimvj5jE8rOOUHdLaaWmdM/ZiP5ZdiwXQUUA25/Tx85oWm9tfjO/K0USv1zMF1g6+Vuvb9dB5UZdwRqNHso4iu6RRA8jixRXWsNvjzkTJBcMVPi95RtnDSyaMVgy61DCipW1Wa2zei1Mf3kGoS2Nh59HKPdcK0bdmVja8rLu/k4oH743qmy1pg648CbPtJsHzIp3tWr4P/q9TxMjAHXj3jcH3oQZkhF/q6O5mkETYOfvJiTs5IVdedQZSO2/KncakNxF1nVZA7AU9rHhKXXzrgbQ3rSk/BdTWGgDARY4vLv0MhkH7yu09haWUb1eI+x/LBwvm5wMKFV4bxpmJRapLivzf3vePfuqPUX7hexPtcf6jxxUz5XbvTA/k7Kuz7vbRbDIwrRxDO5AV8BwY1/hLFeFn+Fgi5dzHFy3KQuimdYz5a1e/y17nuZ6Fo45xjIUSO9OgZxHreKpE7zyJ+YvWSgm9EdABB5EKe/MMe6CEmcaCAceECdglEnel6kP9hnzYFj6aQlpycwZ3FWyApoxwprujwVpabwe5ZanflTQ9iYTnntvlQBeCHhJHUvJikY4+yCn/tEj4p4/a4dG2iCUKdY5l9hwz4fWAiyvGF3blrlL6hBrsyiMFI7Y6cFn4I1LiFTksOcxLQ3Lu77107KV55435T7eVMn8h5aWhnntEkFPj65gct7DnBrqtizgvs1eM/UlHGzX2Ljax5iXxBic4i9Ogah7lzwAWeIa2q+K1nq/4qCNyEOmKnfvpUvPgpRHGw08KHDIPOdMnvD1goiS76RvfnfiWGrMifIaFVnlmK8x+IvbZ/esowl0w1uQve1hjbMWdO+E8LkRA+prhwAiHG9uqynt9jDNnoysTCfD3HqXm4xTdu8/IpKP24L0AKg13jyi2qdDjMhLyeO8Mdw912cSea151tfAnk685yHZBzQ4J3dIIGtH3h7kra8Ndu7nb29fVyv/onobqnfdn06ybLrBGDOOoD2Vqpbsl7CfAMpZ1hH2P8yOYM757XoZxfWzVv2DfVkJt0y2/3m8QVa9+UpJhliaocolyxkpMKZlScX6VBf5TkL79Uej7Mo5Z5nvN+QyXzQWAs1NbBvCYbXR8beTZHqZuNmP/pAG9aT2uatySprY89PFqYObe9Xt4BWwGGU+eRgWw+VPTnP1pNvT2VqBy53xvs2FO6Z40xRMPISHTvxquFD+FrTk/rFS79SeQCr1oh8UcF81JfLokPq5ezzd/RO3AWDUgoy2AlIzQ2x7WbYYKbLJfIer5Bt72t/WF2U5BQc+79buxIYnInfNM5duXD/9OF20EpfaTBwXShBKn0RJk+BKAvlp3iTUS4MK/H4QqEQggVrZ5HDthU7RcNf4ygVvNm1bboIM1CMmvxnRW33S9hQDjlvCKug+5KPU8g8dWBVKO5fxwNvuiku/St5qyQ42KqPyftndhS8j6jcv7WpHO0W3LupfpaYJbDjgfmYUDNhc/mdfxQS7+LijS36MPaYlcn/Qy1vf+ELZ7zTV/fTqHs5ZjBQU2dRkHtqgD8f1OQ4SrFnATq5myH4lVqWgqOjKYADQt9Pzj2MYZ/Q2zveg0+Pa1z6GdBFuUTfy2MvXudi/oraL1cx7KDbwBCo8UFsg+J0PrIKcMeSJqhquSzzl4y7XxgsM3b1ZqLu3Hl8cwAyBn7GaonxdmATy9opEUC8ssaUoUQUceS21XOkhVb5L3IAQmWpYbtonuCdfPrlbkTeSUwL3jV+mqlIDvmzGisUFZvBxscyaGT6MQFD1PWfR3r7G8GaKQ/3T+Mec11xdp7zhvR4tvQcl2KIAjO5PKQpCBVZMK+vE6NlXMslgFlVYerol77dDL+h5nOGGNOy8gJXdE3VDzyQErRHWfghMaUp5YXZHJSWGtyC1A5jQ7BvSQstu3K8BR7rxLGH2fKBkRjWZqxUgHWsDSecnG2CKQGJGJNZDQ6I7O6M+4g2+GvwI+i1i/82cja5b4zKeCeyO0uFUMVGMTWwBemTAU35cWOMByTOWcm3eJA4/i4TKLYSup2O/yXkAIxqL0RWqA0JWdWq0n7n5XKGpERAPNuIUgPqggoWQmYA7QTMtERy5Y3bVK5cRIC+HHZIRFs432kgQpOyjOgcJD6vAPwoqhuCm7ZFGYSI/Gcnst/+gAKoID/3Hu4mgWkxUnWw7d+bXti2fkGCP1djKsxsWppixswxUAbNr0KhKLu0bjSuUn0nen7edbnkCtQKZ/5yPBfeSpGjsh0IhLgClfsKhQCOuKhYHgDzbAv73mntNngzFzEFOEN+EOLPMyAk7ts26FlAmjyJBusGkMr96qg/ZIA2o3Vw9CLLYRdtST9dkn3bIv7ERKhYnoRErQjAMay2KoyctkC7I3C2ClonzWtnCKjN3GHjcrPOz+0Ef2k9BitncKj6dAx3V+BPqAv2uBzvujimdze6ySQlTCLEU0NWbv/TNtBSvTA1WZHgB+1E4VGh8Vqw0+2gaxE2fgbnCS503D4WbSACInMDSBJI77lRf1Wlmfe82Dsz/aPYZihVXBqRg5zolR/iX/6vgTyuVc/Cucfml4qV2STYb8je9alg0AtN6d/RWrOf2mEhc07NzBsB/wjTKPUxYD08wkvW4E7NTmZa0e2QB79I/zpkarCDhyGs5VNQdSA+RoiXAjvlGQrjxTpV8lKo/8HSTdzDD7rM5v61NsRXEA8eCcCl+wVjXSd0pbuRoQBWmr52XTU7izD3VhXVbIl5gtTbJJJDVNOGnyIklzLn41diyucuS3N6kwVHguBxr6ivLQG3dG2ytLsFDSk1rYe00YnN0/M099oUA5NOwQc6jaqLAe9kq4vPlNko4RDsm2KALLrUABmZqKHwKWIgfliJ9eyblr282T0jMELvzGUKdgWvtT98uSo2VdpyQ27RuRysHDL0Z8x/QbDpLFhdXfvRfL+rE1OPZiKbB8mWVE84H4+HQJeNGc9fzW8NTBvKY5q8eABMpONbZ96fbXE9o4jwtZZfwbhx1d+jdlWfHHwlQ8X+eYPp2p59ga5Jz9uIpaU513xhATP02iodoF6ZKILg0sze7tuyTxQmqCWA1GiKxFaY8Bj9r0yTradQnGhLkbw23WXE3S4apXoYlO2yHnwMtEIuYMmCotifSzYadyacEVcXY9hHiKVM7YGA/jYmMm6qgs4N6rE6FtGTtLjuGX7gg28qTqBxTaw0vA0P+B2EcbzHXL2kqyQG8B444XHESgkqsXRaPmvUkhAT55GUSq68JOs0Whn4EL10j7mn7kLRPHtd5ulKVpPb8Uhp5JGUUq5pu41o7IsAimbNm2IxodBYIwIqTUSFbHO7tOLxrv8qGhn7KaXe9iHxQcdh9L15DoMgbE7k85qO1bEnvKWlrTL33nO/TK4OWCbOj2z5IaEztCv9PTV3Zy+RiXlZJVYXU6VOnPESTVdQQUNp1nZQ/18KgdVnqTLeeCvYcpdadT/fGsk/ELypr7QzQuRGn7TlFpoEEw5BBY5G/FJukdfTzOFKN3mhaauj586by0LUMRTJcxI/pz36z4JkjgqPxGsY5Mn9G9JTw5UA0XvC1qBAKbjCmrNz/1NzW9umPqXAEF2YjR87veEQpLgjsiP4lpczFfSg5g+ndTMnZbOTeAOkXPbqYz6SQBv5HBSFIRdo8TIuXgOikb7vOpHLU+bouWiFy+uSKcTPLzDRv7sMY81dBV3WqYy8h2vvkUd5vDY5dOEEBRiOIvMGRUOh3/GfzNu9d5cPvGTE8S9bV++RD+iwp5cqOnDgjo8Q6xcYw+PQ2qFx8926m5d7cULebCI2lq+i21QNyqyDA5YpPO91VnWtO5IGFs/NSVcanLnZoY0ci0uexVP54V77anR856B6Osg0nkV1jsH79LjFtewmmFs8LWQmD0rJkNbMN8fTbzC7O9mfzrTInnblqrUzLWuKB8soT5aRUrgtlxVTWTCPayJeZNXUJkRCiMtyefQQvNe6Ksou1RyHBUVNsuFZDtz24FvLftVo5D2b6nk1Am4WMehK3lBNZqlA6qKS/ABAswv1vEqVuQN2iSeGGkhZOUeYCueJn2EMHmPPISC3ILQmWsOKUytKKQ+89Ey1iIA3bzFzLa/lAKKMvFfvgBsb9s7+NjSCJPTPFV7DYCczE5DM0b5zFbvOUdiir8nAh5aKlp3GNZVOqMJVk082Q86WM5NN80pGvDCDoqjIyjLiaYZAtMivABy7XR7TuWMIRaBiFZSdhLkFKAQEPV6qGfJL145dlCsqbgva/yWXP0fYMKxC8x7ChbgIi/79R1+0UVaDAyndLmgjrXdgy04AamQmd1KpU+Ml2E3AOXOdKIvkMfy58q5uNHf1k/Xxz5nNITZfe8eAI6lazUrQrMl5xsttVjYmOSTe06MDWa6bXGxHFzrV4XcY6IzQw5t2UIG7ioHYTR8mhlFSz4LgYPtIFwV4iXRfg2UiHv9zKGsc7+eC9y2/EXjXa2vJGN3m13t3FbBa0cGcPWU8mjuDsrF5tWILMKO0ajzuNhha5P1W/2DT0MafMJ9nhb/zTqZChP/XzqwGH4/KvWbUJfHpscmJZ3ciI7pSyK3Pc9m93IX1NJsdMBfbb8FV3WZ2Q72Ri21LDSLLBD7lx6pYcR4KjsqoqiogV99ncwlFfHtbc7Bet4A8rhQXOVXqnH1n68veTw/XSLtMFqkuINq5sq84iGIymN0Zll6BdTkllyev1k33WqEh1ISG8imrbSFvNbuz+j7JryJ4ztjTOkcwDSSTxMH6gZDOPf/MG8Q1wao5Zp2CTcyrZbBCyhJhghFpgQkaDq9wozPHUMmuwuUKm5hQuhbEavd6Jlu5AwDgNY92h4rQ9vWqkTQ3JMdQUfe54Q+6PRNeKQ7+2v8H2oPzdbKJzjDwZYImQ0jWZhQ8bLb/baDyA5fSzXwwNO07VWWRc0KSfmz8tlt3vnDUkfTU0z0wWs/ePGTtxAynaf1IOYbkfzjTAFk3zZ9bY/LJcyGfQGsdpL7x74ZSvEFCpMsF5s88BnT2wutGd368Q/L45UBGrPZyQ5HMbkoyI4dnzzZOEIoLwFKfoD7lRCfNiahejQ24vfOD4uowYEpaKFLpbmrh3JWQkTxP0LHMK+SQSwHsemQNAVu0o0YVCkOq5p1bOO8v8JECdR3+UkoZTXtRJp9jYIJbhRCc+IwlbvtLk+dDHfwLLcf/k1c8mHha/et/AbaI5TPrnhtLL6y/81Ou78Ad5S+SrQT1eF6MIibyzaIWo1Xh7sESk/FEl5Bm6+G1OyJfoeZ778KI5ONq1nC39e6foshKxglcICcTEMgyCZM10R8XFtYZ01WoPXlUGkh5XkTL2cb8zRpz6OIQ/pK+I3O0xPGZQdz4pRNCoeZF/4xAN3cDpBxDO1rsypJDJNa9j6BxDez80ZKl6dBcji3UBsBUKySGgezC/FhtcIF19Md977FVLAfuFOBwoGopMnhz2Oqxueqwxjpi/IU+UYais5CazkikSkCg7huQRTNy6q+zCvpi8qafCkX0vtKNwQ067jLK8EYzBqLix2Gya8H8Brhd9C3BV3TVSpNB6at3Po4DZz/f4c+VEM8mOYG9ukHHwXpB7xJy3+cpekTQxfqg8/+0FOFYzQYmRZzkbcKDBSE77Z7fNzAt/nVZgOtv4OEfRH5yVSj2XhTHASQ2OFOPMe3pQp0r3OzPVw64P2CYouQorgUveQbKP0ETTeOT6xf9lVRsIQjyLnVySGJqIP2zRaCqrGnzt9ttlfeKwhTxqeVzqanjR+a4ewZE+kIoiM1bOXwC53+OFEgYZkOSNMDkbqXEebZmMf10DeSwuhcmfXSyqh6iMPBhCbH6AXRq+x8Xm0QTDxtCdsybipAuA9Z/cBMAZkI/EyQ8/RpLIHEVlc9Aoc95VODClw4gNM8WjTVGymj9vzB/8MGwO8a5KfQluiVSmXxT0vfDa69CzLlAOZ8QtWdbcRjqjLqevo27D2oAKijr5EZsLYJ4fPHeSvCzVUIyywM4XwkAKXuyzF2IZ09pEq+ooI3BUmaI4nfzp+O+OyCV4Z0aGNQqWg0UOkIjg6Je/HwqqecodeDuk7OsyBhhIaPbCplfjog/+iLVD+RNYAxrfp5ikcEHigNFkAI74ERcIS7CdSom/3gSdNchmQ8TLtQfZju5gDZ5kWnVJqtOfez6dsf599ZPmDktMqfVjEd4lyCRDfxrSx/j1oYcHqliBXGaGMK7LT84ZYu1WQhLIOF+EpLBaBfMyoHHjGTZPblWOQaKSsLszc5GUPo4RyNfovR8hRoSNjcWIH5CqVwqKBoNlaT+Xg47E3EmJixwInfRV84kHPr5UXCSQh0he05GR3xXL+pybfMyIhwAndttdB9EWE4bWrGY+pQz60i9UUeIbzXv0bmN8dWW9digxNQfG4txOPTNfyCBuAoZcpRreQx1IrelUX0jQCMhmR4hFxv5H0x1yl4otxhByvImFwkR2Joa6Fa//gxZbsdyDTUx0ZCJbJcYguXIb5ZCyueppdzU1K8hFgO/arz39d8iQqjjcEioOcYlhbqGitIp9vFWJStN+N6Z3I/0Q788gatT5HyEdISntsJImlHjrgzt3je0fQfValI3TN3fxmOzzpyyb2Wcy7bMURyJ/E8LyFUFMcWnJL+x1p7kd6pRhLcwt27LevOEps3SZsuux/8bOlotbChZkd+kaL40lVVm88lq7MRrKk0FZ8c1+nJinCi+9XK58Q0TIMkgPINDp8/KQTCKrdR8QqeHIxkk/xAtoD4QpkJuhgcptDq8ueLG4jqGWvWadx+0EgVUHrXglH95WtZo6zA+QOcl/fyMHfbH5R54z1azes568sIhigktIva66xnX616ACjm/E8zbjahSlCAQwNIzZZ4YllrsHCxeD3zHvd1+FmTLqkW+UuxIImLRp2rnb7d+Emyk609MC/cwCehpFNgM/soq0qsl/xIMxiUH7qfYkwp7eBnSetoiwhogH0CP37goZAsKiluR/YH81BwKVQqn3sdowhEmRYdwqMIjtJzMdKmwkIsqIFXUv4gTNT+U08+ueXMxhwykJddGNCqRHjQwnCE8duExK5xLrIJoDJ8CvIhGyZNiScmJJFE+ix1CnQSsPgPX9ZEl8UEmpzNk03N4jT6Tl25Coq0S6RIfJ2C3LhTKENr6d1zIzxCecqD0lZhVMN+StMUZtij5rPdpa5SICT2cYHmY0NMpr8txVVN0x0aIUEzNezL2Ri1voAQs5D6o86nO9bn7sPPfcZeEey76NC59/xi+zb/dr4J2HL4rIN00rWC1yPtMYeYx6SaCsnLcoEZ4Y+J2WqQj36CFdMRqI5ujMc8rORdCX+xk2uwmHo95ZMtvZLu5op4jfNFs0f/JxrfuuT7+a789lNUQwGT3MDD+iBLSMN6gqGyE/jtyYfmM15/XTJlxKt62iHSGgdsqAf2DKAoJBpI1CDq918sSkXGAeNBsEGiXhrKGsAwQE+1ZCP1XkAPVOAZSL+fGigz8eGi0t5B9wZqaqntWSe55LTFLWc2egJZ8xE4HJCWpQg2Ba03gPveVxrtOVko1q7YCnjmgjYUbkYqJEVulF4YLij3huJcQBf2b+pnS56rlBN3Kp6WPkitrDBupE8uG09+bUthOQLt4C/Fzg0Sp0Rk/ZuK4HYTLsjgvXc19s9Q5ba8dWWoo2bJRrDYWhHfU1WeW1eHPJ8ji9hfcNhSQ6UYMlzyH61Wj1oeP/hE0AqzBiUGlZONJ74LIPBDKsKIEM/u5rMwgnoEPBfX3CXndhCk8CsNo+8Y7TPY6WbMdBYd8Y3oI1dGXV89zrRQwZX+9rJOVVm4O1Nin4r+orm8WZuQooa0FIxBQFur3GsMqsIpTjv/Tc+ketAzKOln1C1rhpxhbBErWeCtJ0LR7obkShxXoQnnssTYRI+UL7L9EwLlPmcncycRjDeao18CR30XWdkVK7QrvM5qLZ2M4dcZrlB12Pur2xfWUyLnuTwSG/5TH+xVXI6KhgPu1+VaW2xpRol85UbgIO/KLv2UnR0QCEiG2Gv9T7hiQsTYHj1XTT7dWiI/iK8Pp0f2V9wp95KytqewEMU4FatA6zEl70ciRlyNyJl+N6ksgW8sp6tZGgNSsp4Xb9cV57AL+kN4+XyRAGA2XVftTg8gf6TfWOKws4T9G3QNF9QMy4Fo6vVOULslYRIsdld0Mows4NYva9NTYlGMHiVU8rE83OLgaxyxxKrznQlAUSiKPU8iYTYrtgEcWvmPmrxVVGm7Zm9d82N5mMM9nmjPmQCQSwamOTeH7cKfCJw2GZ7kax0mtQphCVqYsoYGKpURNadUCx1xYH1TfKRrvIZONE9rpYR1d5RUzvu9U0xSdPYgp4YwL2Z+TxMTBBLXI0FR7RnCwOgCk+BBSjr11jXnIWUaS4PNRyJy5Q6fc05qEs3F1+Ux4sWSM5DMqDeslajG4PE6bj2XFHjEJTDal9DB+9G/qmRy0qLUOVODjncqgkLm4GzHhpZiCGIJv0+LxAV4OqoknrGRPL6iXfj3D41i/y1hiZnuYKNW1W6vYlNwlsEIoWD9gEKE5/q8cbOlE5liQ1u9C+MhChp8sOegrZlnr0TjA+fKPWVP5MYCSEsIGoFvhyP8YgqGzUpkrLqIf0QeZqbEkwez3FuzfxZBFjtWRzBMYXgTv8DwtVgpMVb0KashxH0Gko/trsY0BEYi+U3eq0U0oH2FyuuDn92/WLKgW8mBXSqcOcg3fgoTglVSCJ9jqQOqWSAUvUtYRwfMkoyKrzsTSwh0J7X32kN5hDeVlNo3gCJAa1r2oepPUPNgnFZTKq29VyQzTRm1QHUA7rrXP/Igi/I7Yll3BUrDRgMvc43CSDnmu9FFOCQp4c1MVuG8BjxsjJs/ByUC0sNlJwUvGMBpnbNTLlpxeqM3EFcdByGbFLEuqqNScaHPaYXEwaJWCUQRz2r15nwc/8GorwSxvTfYLuly9nJskycvdCCrBjjecqeKdziY21gxd9gyvuTlimF732WcSeAewZb6q2s+f55iPLdjId7LWGllBRDm3n4kH8zAYlLw3sfI7MH3zS8vn84PgQXAfGtQyIEVjm8A/ttCsesb8SPeHTJm7qjg6lMf+4usRAueX7gNHgBwjK0GXs+59eBt+bbymWiMWv72d+5HWvwCZsG9cwytq7uvBpscwtI+Rk+ojT4bRS8Rnuz4RC85NG1+roPdU6fF4fqqwuLKYkR45exLBuZCkwoUBZPkRnHtP2turraHiwORBaDQnDGRmQnZGOMfrHsLYpDISn53jTHRm0VWoixysFwgrY/l1Tnin7xS0hiSHf8TyRwrBjGLT9X1U0uP78oxbUaw1U6TK0CsIHxa7Z2NNaSrwLgTKyjMHnCM/CLlmawimOvFq42shd3B218BnRC5g+7HqOtQFaq72Z0gYBE7LwsvlUg1DjYZe6x5FIp3yHxB+fh+/XIybNMVhaZSqJ+3nmT1mfx9HVwNeBYbcCz0B9w+LzL4SVQkGnoD4bg6WzYbTAl5YnfqXqpFTKp1XxLmtMcJfDy74YCg42fHO2Cwf+sV91iWKBxQ4V30wscsP/PBpMR0c5ZtXn4Rt2I5mHG6mSkgmpHtcEMywjMMyGoPaBnfpDgCKZuulhNhtVmY3RBNTgiAM1PIvQzBkspezGvuDMd9s9gr3vncBLskVTBeVvOChIfr5xMPWlo4BSKE8YreC2o32cbG/C6J0jxdRjvXqpnj0yU4byz1UhlU7rkWAbnQ5rGq4dwJxqd5r05i+xEDqNMH8DdytqtG2IA5ct5w9EY1WkKL0/nCnYpFC7I5FJfAQhAyeImZtvnAg5QxzqwR7xNGe/Y5lAVKPS9hehTomaQDTEgpX9LSPqJ6/fFLcJ6P/ZZRDpFKy02bnryODu2Ut4l+8GsPW7KoV+I7yKVysXsZt+lSIiWqIeIfmoqNlOUzi7qDDwcm3XWQlKEBqSNapV30YoCaDRUnfVsfVfxAZKPlTxcxmR9wvDssSwd3GPUFXfY3uZjadLuTkyOb8k8WrL5yBwnb4/Qx61tEUpCZJQuIysDeqNPmL1PeEIqeBn9gNVyMkJ3pbFR0ZpILjOalwIeaW2tWJD9r1j3OuV8mSS/AZ+HMkq66JjMor2LkkRCC9poeosQDavpOW04Zs0ehHiPYF8m+VmB3NdBR8ag6r23ADJB4I1WiaB9PCULjgzg4iXdLaxf+xT/vduiJO93JaZe/QOUfczmQsX9bfgFqqGilnL/XHjVhO8apxEjdiNFaKg3WJxxxir1XYs4mdjwWHOMRSlBaztX46ibs/ITRA7LXxVbwnGFxxUNK/cweNu1F5Gvptn4AmDVGy8vlJqR1YIZGgUywFMtwy/eiLx986fFRNi5FKBeqiXfz5bMYADR+GTTXS7/2xDBzXbUqD8sHnxouC+sjFROBuEzJlt2LHZNJRZEpr5iiNujeULqFF56AkiUk7Exx5QrKuNooQSxbRYldSUrSGMQm0U1K/0uti1zUKT8i6hTcWhnGPraJfRdYFeck5JpPGjikVGiIG64oqxLzWQ5QhKsv4BkA/MBSS4C+XeaKMu2PPd+FGmcpG4M6LtCaiz8B+yVutbtzPhZ4qeIYF+pC7hWbMK3qtPG45EEV9q/Wg1a+4xrjtlZg3PfdxN1+lKBUApHfa48/xy9GGsgavH1sV7Q9uXQhfhbXa3/sxkfb/2iGEDVcia2O5iPiJNBbLUxrURT/frmT0OgRI8Qk3xpkAYhVUYYidt0NMTno4yv7Va5tw0ITaj8+UVHe9wAM0TsO58nEdTv364Tf+0ZPMikg325Y8Tl7l84NBvwq5s+6J+SZ97A7jM0j516MavgMYK/KqH4uyRdVx+61eNQ8TU8F+cDK2CxzZR7gIIKkUJDjN89zhiYLMo0SC2QJUnHNKtXDga5dywEyHY6wj7CwAP/rOGXIGLZOqTKRDt4JOyi+uRD+SDLLApMKPTZoObrisAFvWmW25KxeWPcdPWKBH4bRI2M7SzN7uye2cHyQHSM8ET5GDHxUlSoRg+K5rNPcR8Ge+tMHAjUszbmxw/i4dW2D+52lqLu5waSvs+9xZjK6rQSAuYsftaEIE0UjsDT8NgYZXphRBwGVtbQwk2v11Is1FWEjtPoLHM5GTYRYQNITg9lZ2cPLQ2lrzrHTbMXFdq5bp7/VTm/sOWnEggvK9BDnPpvCFPXygCyGyjUEAUkW6xQkxiZ5LKYPv0zaRO/p5Q7DheaPbXZwDrR6gOp4maFPePS/EonZ9vXepbFOySMhOdvt/qnguCRU53KOPd28bhL5vX+ubrfxJlx0GKoz/a6JYTjBnvDvB6dd8z/OBJfNhcnon6W2XloTXch7sDEzCO2MRNR5sMKJ28wx5WVX9LVxjL4vRoE0/hu0ENgsoS/ajs8+DMjb+XZgeyBV1KCJxJmsiAYDTHieT5vUCxqZuL2TYbhMQ4y+pYZAY02pI6o2DaWm8GfY6Si9OZy1inh0Ewe8ESHKRHhURAwyci/U0kDyp2slmtyFnA/MWZe6yz9QdZBdiMNZYUdkqdAEPwP78JNKj657yH1Ip9jQpw+0pGlm04q1YZwz2n885PBfhlF1S3WV8174LPkeE8yM2WQL97lIF24GohlYDGmnHOmJU3jAm8KCFIWhFI9xLowA2SH42w3T8MhaDWXOOO0C6CH52x0jawSmX/SSqeRFxixHiqhSX77TeT6hQbR3310ln2Jg1DuzzqVV4xBM+yGn20zLtUPRtnEXT/05tpKfrZ0wht/O1vPMi/xHYpSS1oefVz/6nwUEYhMo7G44D8uFjW1Yv+dYmOZeVHktrTN7hH6k4GIo/j2kSaWO0OH0+CXMpZ3UNfbJQaTduo0YKMXQMH+QRRIVSEfQ1VrpYClQ8Lu2797/btPSIVzjVno28R6t0EnWi3/J08CqPOYV0WfQqTDu3wwYcXxTgizZSWgEIBlKEaRrPNUsUfh0LPXRwHSm7s8vYvz9LQAHykqL6Uqo8V85CAG33nc6q+7/m0r/iLseiBWDUiAHsnwqX16Rk49LIGUzka9KWD0/pbBGReh/lfMiXgl+FAYWWeAIcY9MYlWSyvMoczxjIlSSbRWYBhZBjbrbsuGg47W1kdRndHRW9yTVOdxI8d7OwQEvmIacOkeYyJk+LQIZTnxMnMHSshLr2Ys8xSpJ12P8ylzHhZ6bCTl6QRtNlTDfUJFa1qP0sB4lmIV/gpiuWtjAi1AC4CagDJw8EgqwbTLLkBJ3NeCafP9YW6ewFJUaiGzXGDaZ6oYMqm5pAKOOfZXP+twPer1KskOOSyFdb290G+p7gjQstoPh7TVQ/li3+xJ3ag/c8ZR4abkZ1PRXdNXI4TkucL96FeO9rRzbr0CXSQAGf5uYFOl5jvbRPKPfzsZTrnlUOWFgNFVAcA02PmaKeZ4orHcIOwz1veMTd8wMzgMKRK5LsJmedqmqJauZ/GcYrYYMktsrU1tzTOUS+UKOvKtfBtWOZbzmeAzwj/EcptJiveLWQO2g9B4xBejoJj/u7boKxlOQtycboin2OuCirAQk70Ooq27SGlxW4hPLkY6xpcMudeGG++s+WbnLkxZRqDbe14kAfR617HN5hUcVvuB+jymIC1ieK2taPyWfj0y3ub7EeqaCeELwCdZuQiR4MLqCGQ4lYFES2uvCD5iJTa+CSrD5KEyzY7vJVoA9dWvLlWN23XzFqqpzUPHY/LNFahgto1G8CgHVIfEQTiPuVwYeG5uYP7v1hSCFnyBpHK71NCTJ85FwoTCdThwssiZc8Wj4h5OzsVjnfaRNnwy3jJe2A/EVTsjPogHwv+DfwAIXIaDlWQGEn00GkSWOYVR0eDFetojTanXnwIF5fXfo9Pi5ZHIC5TjOaLuryx3f1rjiGp5zOwwQ2Vh86VcSE83PVXg6DBd/7+EzyelqZMQ5qhkq04V8WCGJwEZtUTMZ/ZjY4appCr9WRJCkyF7OgZGpasQzM6Wuj/AHfAy/PovySzSa/YX/5JIUdrLZ/sEl/ffu3vf3TzvGMr0NpNUnqmNIuBrk0ZVHezif3Q+ZQ1eO6H9cgwDwMAL9At+X7z0StISrF7m4r5fswIOy/9R8wRCHSKbhA2V7DvahW9kjwTWiRjnL7o6NxQCKRpot7aBywf9gjTWcRKFP8apapFrBgImYMFp9UaBJnn/Pvit46Fi4Ae5P1bf+7Cr1IjHspfNKnRzpqklsTw3s/SwWsFX7i2tj9n5RSGh+kBfJivKTMkcghIzKbrNMtW59+Q9/bMvbYtKP1Es9jUEy2ugGMnQn0NX2kDmcpUzp5FFJfhUmBT2BSaobEa0cnn3osIXUWDAqLo4dcZBmH3JHy+4M5DWiSykeI/uxfhAdWE4t2jW0GThSzglgpzps5ubb2hM0y58zj5jX640Cn9liSS2XqciB9MxhEZ9uSDwbuYQ2j1wH6eolXd+iuuynBVczdv2KQ5BR124FageHymkWs5tYpJAHENy5nLraRV+Jk3Tzqt7oBZS+QAap5/dNQ7uLDaUFS3kC8q/fXX/YdTE19MBV/nD+EL84ZJTsxKSGVt2wE2Uwp0m3hGz7mH+Hwj+0vON7SufPeuP0xn2vmFClyZ9/DmSS/zF0o/yAfrYU3DROIcbNrh2qp2sUBbAhYmjuWWKd3SJ7/7Gw7Jv+qakoM6M47E5qs3Tb5HjE778nHQ96VlVzDTU28jN0TKYAOHgONbMG6CRQPxeks80c2yjWcoOPckCkULzsZEoQnYL2Usy4ODPh5uOX2Ly0d4ejilPFnAm2KKYQC7PB4Hqw/maua5GuPsZB6pxwYypXuaLSlLhNjfo6CvaRBtANcqP9QGJzYPDqj3pl8Rn38jhKskz65eMgTQWe2kNLVI3GXv9gBfHJFAaDy1J+I74VHXkpfO9KjcesLoKsNY6l0ybieA8xaaz7XDekXNeIjztHaTmf3YolNlxUvLda1/BoyjBVM7mLye4A7SzrJt0yKfeWPoB7bVU9uCjLSXFCKRG2leQa6OAQV/Kemo8jgyqDg1IpsvWmTZrCTWn0K76Y5HU68Y3w2Zk5adr3ND0wEl7WByagbJw3eOAbgSDMsAt3z0e/tWiNI0WR54aNmNCupOrF9nZHd1PxPdyoBfFKD46KVwwltanwi91pCTPo4jMvSpFS52yezb1NYo+xT0hUGxZGyL9up97chtiu9wcYeG51bHHnE19+IpL4Z06HiPcyN0dxyBIB6VAQ0nrGUdXLgPz4CC1YWxpUvSJDbLU3GztncL7f7fS7b1WhgC23ldajI5Z39DygpLScF8fR8uZV3UKL/kfcckKdzEPYy41OiLFuJ3bs6zROEUoKGkkIIqQ938NdwWPT7gcHd4WcpaytwzX2H2APaMMlG7LXUbsGTZ5ApdK95WT9Pyzm9d7rpfUZlFN3s6L0ssJkZNFdw5eflU0cggBUZh/f/AFj/8BdUuVNkgTeZjsWiq8kA0Frg3BPpYT/r+YSLLogCpOKCpmnn5+w0jyYTvNdKGqdRHSbAL/8ef3MhxFOnOJyH5S3MhIFsrX3fQLiQA54oUmDYLOcKobNsNLuEmc5yRcxwmME9IRoi2I/A6rSorH7ZhL95bDZAoclQA8kDKNYAo2ZVEl9uaAz549ezNUaBccAzYoPM2Y91Izg5yPOHUNvDqZUN29tOVw+L8UUA8V</go:docsCustomData>
</go:gDocsCustomXmlDataStorage>
</file>

<file path=customXml/itemProps1.xml><?xml version="1.0" encoding="utf-8"?>
<ds:datastoreItem xmlns:ds="http://schemas.openxmlformats.org/officeDocument/2006/customXml" ds:itemID="{FAE69798-201B-4B73-9175-0F714DBB7E9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51</Pages>
  <Words>11275</Words>
  <Characters>64271</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Sonali Kochhar</dc:creator>
  <cp:lastModifiedBy>Levitan, Bennett [JRDUS]</cp:lastModifiedBy>
  <cp:revision>9</cp:revision>
  <dcterms:created xsi:type="dcterms:W3CDTF">2023-04-27T20:34:00Z</dcterms:created>
  <dcterms:modified xsi:type="dcterms:W3CDTF">2023-04-27T21:12:00Z</dcterms:modified>
</cp:coreProperties>
</file>